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109-e</w:t>
      </w:r>
      <w:r>
        <w:rPr>
          <w:rFonts w:eastAsia="宋体" w:cs="Arial"/>
          <w:b/>
          <w:sz w:val="22"/>
          <w:szCs w:val="22"/>
          <w:lang w:val="en-US" w:eastAsia="zh-CN"/>
        </w:rPr>
        <w:tab/>
      </w:r>
      <w:r>
        <w:rPr>
          <w:rFonts w:cs="Arial"/>
          <w:b/>
          <w:sz w:val="22"/>
          <w:szCs w:val="22"/>
          <w:lang w:val="sv-SE" w:eastAsia="zh-CN"/>
        </w:rPr>
        <w:t>R1-2</w:t>
      </w:r>
      <w:r>
        <w:rPr>
          <w:rFonts w:hint="eastAsia" w:cs="Arial"/>
          <w:b/>
          <w:sz w:val="22"/>
          <w:szCs w:val="22"/>
          <w:lang w:val="en-US" w:eastAsia="zh-CN"/>
        </w:rPr>
        <w:t>203244</w:t>
      </w:r>
    </w:p>
    <w:p>
      <w:pPr>
        <w:tabs>
          <w:tab w:val="center" w:pos="4536"/>
          <w:tab w:val="right" w:pos="8280"/>
          <w:tab w:val="right" w:pos="9639"/>
        </w:tabs>
        <w:snapToGrid w:val="0"/>
        <w:spacing w:after="0" w:line="240" w:lineRule="auto"/>
        <w:ind w:left="331" w:right="2" w:hanging="440" w:hangingChars="200"/>
        <w:jc w:val="both"/>
        <w:rPr>
          <w:rFonts w:hint="default" w:ascii="Arial" w:hAnsi="Arial" w:eastAsia="Batang" w:cs="Arial"/>
          <w:b/>
          <w:sz w:val="22"/>
          <w:szCs w:val="22"/>
          <w:lang w:val="en-US" w:eastAsia="zh-CN"/>
        </w:rPr>
      </w:pPr>
      <w:r>
        <w:rPr>
          <w:rFonts w:ascii="Arial" w:hAnsi="Arial" w:eastAsia="Batang" w:cs="Arial"/>
          <w:b/>
          <w:sz w:val="22"/>
          <w:szCs w:val="22"/>
          <w:lang w:val="sv-SE" w:eastAsia="ja-JP"/>
        </w:rPr>
        <w:t xml:space="preserve">e-Meeting, </w:t>
      </w:r>
      <w:r>
        <w:rPr>
          <w:rFonts w:hint="eastAsia" w:ascii="Arial" w:hAnsi="Arial" w:eastAsia="Batang" w:cs="Arial"/>
          <w:b/>
          <w:sz w:val="22"/>
          <w:szCs w:val="22"/>
          <w:lang w:val="en-US" w:eastAsia="zh-CN"/>
        </w:rPr>
        <w:t>May 9</w:t>
      </w:r>
      <w:r>
        <w:rPr>
          <w:rFonts w:hint="eastAsia" w:ascii="Arial" w:hAnsi="Arial" w:eastAsia="Batang" w:cs="Arial"/>
          <w:b/>
          <w:sz w:val="22"/>
          <w:szCs w:val="22"/>
          <w:vertAlign w:val="superscript"/>
          <w:lang w:val="en-US" w:eastAsia="zh-CN"/>
        </w:rPr>
        <w:t>th</w:t>
      </w:r>
      <w:r>
        <w:rPr>
          <w:rFonts w:hint="eastAsia" w:ascii="Arial" w:hAnsi="Arial" w:eastAsia="Batang" w:cs="Arial"/>
          <w:b/>
          <w:sz w:val="22"/>
          <w:szCs w:val="22"/>
          <w:lang w:val="en-US" w:eastAsia="zh-CN"/>
        </w:rPr>
        <w:t xml:space="preserve"> – May 20</w:t>
      </w:r>
      <w:r>
        <w:rPr>
          <w:rFonts w:hint="eastAsia" w:ascii="Arial" w:hAnsi="Arial" w:eastAsia="Batang" w:cs="Arial"/>
          <w:b/>
          <w:sz w:val="22"/>
          <w:szCs w:val="22"/>
          <w:vertAlign w:val="superscript"/>
          <w:lang w:val="en-US" w:eastAsia="zh-CN"/>
        </w:rPr>
        <w:t>th</w:t>
      </w:r>
      <w:r>
        <w:rPr>
          <w:rFonts w:hint="eastAsia" w:ascii="Arial" w:hAnsi="Arial" w:eastAsia="Batang" w:cs="Arial"/>
          <w:b/>
          <w:sz w:val="22"/>
          <w:szCs w:val="22"/>
          <w:lang w:val="en-US" w:eastAsia="zh-CN"/>
        </w:rPr>
        <w:t>, 2022</w:t>
      </w:r>
    </w:p>
    <w:p>
      <w:pPr>
        <w:pStyle w:val="94"/>
        <w:tabs>
          <w:tab w:val="right" w:pos="9639"/>
        </w:tabs>
        <w:spacing w:after="60" w:line="240" w:lineRule="auto"/>
        <w:jc w:val="both"/>
        <w:rPr>
          <w:rFonts w:eastAsia="宋体" w:cs="Arial"/>
          <w:b/>
          <w:sz w:val="22"/>
          <w:szCs w:val="22"/>
          <w:lang w:val="sv-SE" w:eastAsia="zh-CN"/>
        </w:rPr>
      </w:pPr>
    </w:p>
    <w:p>
      <w:pPr>
        <w:pStyle w:val="20"/>
        <w:tabs>
          <w:tab w:val="left" w:pos="1805"/>
        </w:tabs>
        <w:spacing w:after="60" w:line="240" w:lineRule="auto"/>
        <w:ind w:left="1797" w:hanging="1797"/>
        <w:jc w:val="both"/>
        <w:rPr>
          <w:rFonts w:hint="default" w:eastAsia="宋体" w:cs="Arial"/>
          <w:b/>
          <w:sz w:val="22"/>
          <w:szCs w:val="22"/>
          <w:lang w:val="en-US"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hint="eastAsia" w:cs="Arial"/>
          <w:sz w:val="22"/>
          <w:szCs w:val="22"/>
          <w:lang w:val="en-US" w:eastAsia="zh-CN"/>
        </w:rPr>
        <w:t xml:space="preserve"> Corporation</w:t>
      </w:r>
    </w:p>
    <w:p>
      <w:pPr>
        <w:pStyle w:val="20"/>
        <w:spacing w:after="60" w:line="240" w:lineRule="auto"/>
        <w:ind w:left="1797" w:hanging="1797"/>
        <w:jc w:val="left"/>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cs="Arial"/>
          <w:sz w:val="22"/>
          <w:szCs w:val="22"/>
          <w:lang w:val="en-US" w:eastAsia="zh-CN"/>
        </w:rPr>
        <w:t xml:space="preserve">Discussion on </w:t>
      </w:r>
      <w:r>
        <w:rPr>
          <w:rFonts w:hint="eastAsia" w:cs="Arial"/>
          <w:sz w:val="22"/>
          <w:szCs w:val="22"/>
          <w:lang w:val="en-US" w:eastAsia="zh-CN"/>
        </w:rPr>
        <w:t>remaining</w:t>
      </w:r>
      <w:r>
        <w:rPr>
          <w:rFonts w:cs="Arial"/>
          <w:sz w:val="22"/>
          <w:szCs w:val="22"/>
          <w:lang w:val="en-US" w:eastAsia="zh-CN"/>
        </w:rPr>
        <w:t xml:space="preserve"> physical layer issues of small data transmission</w:t>
      </w:r>
    </w:p>
    <w:p>
      <w:pPr>
        <w:pStyle w:val="20"/>
        <w:tabs>
          <w:tab w:val="left" w:pos="1800"/>
        </w:tabs>
        <w:spacing w:after="60" w:line="240" w:lineRule="auto"/>
        <w:jc w:val="both"/>
        <w:rPr>
          <w:rFonts w:hint="default"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8.17</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hint="eastAsia" w:eastAsia="宋体"/>
          <w:lang w:val="en-US" w:eastAsia="zh-CN"/>
        </w:rPr>
      </w:pPr>
      <w:bookmarkStart w:id="1" w:name="OLE_LINK1"/>
      <w:bookmarkStart w:id="2" w:name="OLE_LINK2"/>
      <w:bookmarkStart w:id="3" w:name="OLE_LINK15"/>
      <w:bookmarkStart w:id="4" w:name="OLE_LINK16"/>
      <w:r>
        <w:rPr>
          <w:rFonts w:eastAsia="宋体"/>
          <w:lang w:val="en-US" w:eastAsia="zh-CN"/>
        </w:rPr>
        <w:t>I</w:t>
      </w:r>
      <w:r>
        <w:rPr>
          <w:rFonts w:hint="eastAsia" w:eastAsia="宋体"/>
          <w:lang w:val="en-US" w:eastAsia="zh-CN"/>
        </w:rPr>
        <w:t>n</w:t>
      </w:r>
      <w:r>
        <w:rPr>
          <w:rFonts w:eastAsia="宋体"/>
          <w:lang w:val="en-US" w:eastAsia="zh-CN"/>
        </w:rPr>
        <w:t xml:space="preserve"> the </w:t>
      </w:r>
      <w:r>
        <w:rPr>
          <w:rFonts w:hint="eastAsia" w:eastAsia="宋体"/>
          <w:lang w:val="en-US" w:eastAsia="zh-CN"/>
        </w:rPr>
        <w:t>previous</w:t>
      </w:r>
      <w:r>
        <w:rPr>
          <w:rFonts w:eastAsia="宋体"/>
          <w:lang w:val="en-US" w:eastAsia="zh-CN"/>
        </w:rPr>
        <w:t xml:space="preserve"> meetings, RAN1 has discussed the physical layer issues of small data transmission requested by </w:t>
      </w:r>
      <w:r>
        <w:rPr>
          <w:rFonts w:hint="eastAsia" w:eastAsia="宋体"/>
          <w:lang w:val="en-US" w:eastAsia="zh-CN"/>
        </w:rPr>
        <w:t>RAN2 LS</w:t>
      </w:r>
      <w:r>
        <w:rPr>
          <w:rFonts w:eastAsia="宋体"/>
          <w:lang w:val="en-US" w:eastAsia="zh-CN"/>
        </w:rPr>
        <w:t>s</w:t>
      </w:r>
      <w:r>
        <w:rPr>
          <w:rFonts w:hint="eastAsia" w:eastAsia="宋体"/>
          <w:lang w:val="en-US" w:eastAsia="zh-CN"/>
        </w:rPr>
        <w:t>, and some agreement</w:t>
      </w:r>
      <w:r>
        <w:rPr>
          <w:rFonts w:eastAsia="宋体"/>
          <w:lang w:val="en-US" w:eastAsia="zh-CN"/>
        </w:rPr>
        <w:t>s</w:t>
      </w:r>
      <w:r>
        <w:rPr>
          <w:rFonts w:hint="eastAsia" w:eastAsia="宋体"/>
          <w:lang w:val="en-US" w:eastAsia="zh-CN"/>
        </w:rPr>
        <w:t xml:space="preserve"> have been achieved for </w:t>
      </w:r>
      <w:r>
        <w:rPr>
          <w:rFonts w:eastAsia="宋体"/>
          <w:lang w:val="en-US" w:eastAsia="zh-CN"/>
        </w:rPr>
        <w:t xml:space="preserve">RA-SDT and </w:t>
      </w:r>
      <w:r>
        <w:rPr>
          <w:rFonts w:hint="eastAsia" w:eastAsia="宋体"/>
          <w:lang w:val="en-US" w:eastAsia="zh-CN"/>
        </w:rPr>
        <w:t xml:space="preserve">CG-SDT </w:t>
      </w:r>
      <w:r>
        <w:rPr>
          <w:rFonts w:eastAsia="宋体"/>
          <w:lang w:val="en-US" w:eastAsia="zh-CN"/>
        </w:rPr>
        <w:t>respectively</w:t>
      </w:r>
      <w:r>
        <w:rPr>
          <w:rFonts w:hint="eastAsia" w:eastAsia="宋体"/>
          <w:lang w:val="en-US" w:eastAsia="zh-CN"/>
        </w:rPr>
        <w:t xml:space="preserve">. </w:t>
      </w:r>
    </w:p>
    <w:p>
      <w:pPr>
        <w:snapToGrid w:val="0"/>
        <w:spacing w:before="120" w:beforeLines="50" w:after="120" w:afterLines="50" w:line="240" w:lineRule="auto"/>
        <w:jc w:val="both"/>
        <w:rPr>
          <w:lang w:val="en-US" w:eastAsia="zh-CN"/>
        </w:rPr>
      </w:pPr>
      <w:r>
        <w:rPr>
          <w:rFonts w:hint="eastAsia" w:eastAsia="宋体"/>
          <w:lang w:val="en-US" w:eastAsia="zh-CN"/>
        </w:rPr>
        <w:t>I</w:t>
      </w:r>
      <w:r>
        <w:rPr>
          <w:rFonts w:eastAsia="宋体"/>
          <w:lang w:val="en-US" w:eastAsia="zh-CN"/>
        </w:rPr>
        <w:t xml:space="preserve">n this contribution, we discuss the remaining issues </w:t>
      </w:r>
      <w:r>
        <w:rPr>
          <w:rFonts w:hint="eastAsia" w:eastAsia="宋体"/>
          <w:lang w:val="en-US" w:eastAsia="zh-CN"/>
        </w:rPr>
        <w:t xml:space="preserve">on association period, RedCap UE supporting SDT, PRACH configuration of RA-SDT and USS set for CG-SDT. </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Small data transmission</w:t>
      </w:r>
    </w:p>
    <w:p>
      <w:pPr>
        <w:pStyle w:val="3"/>
        <w:keepNext/>
        <w:keepLines/>
        <w:pageBreakBefore w:val="0"/>
        <w:widowControl/>
        <w:kinsoku/>
        <w:wordWrap/>
        <w:overflowPunct/>
        <w:topLinePunct w:val="0"/>
        <w:autoSpaceDE/>
        <w:autoSpaceDN/>
        <w:bidi w:val="0"/>
        <w:adjustRightInd/>
        <w:snapToGrid/>
        <w:spacing w:after="240" w:line="260" w:lineRule="auto"/>
        <w:textAlignment w:val="auto"/>
        <w:rPr>
          <w:rFonts w:hint="eastAsia"/>
          <w:lang w:val="en-US" w:eastAsia="zh-CN"/>
        </w:rPr>
      </w:pPr>
      <w:r>
        <w:rPr>
          <w:rFonts w:hint="eastAsia"/>
          <w:lang w:val="en-US" w:eastAsia="zh-CN"/>
        </w:rPr>
        <w:t xml:space="preserve"> Association period</w:t>
      </w:r>
    </w:p>
    <w:p>
      <w:pPr>
        <w:snapToGrid w:val="0"/>
        <w:spacing w:before="120" w:beforeLines="50" w:after="120" w:afterLines="50" w:line="240" w:lineRule="auto"/>
        <w:jc w:val="both"/>
        <w:rPr>
          <w:rFonts w:hint="eastAsia"/>
          <w:lang w:val="en-US" w:eastAsia="zh-CN"/>
        </w:rPr>
      </w:pPr>
      <w:r>
        <w:rPr>
          <w:rFonts w:hint="eastAsia"/>
          <w:lang w:val="en-US" w:eastAsia="zh-CN"/>
        </w:rPr>
        <w:t>In last meeting, the table of association period between SSB and CG PUSCH has been defined in clause 19.1 in TS38.213 as shown in Table 1[1]. However, the table only includes CG period value larger than or equal to 5ms, smaller values are</w:t>
      </w:r>
      <w:bookmarkStart w:id="19" w:name="_GoBack"/>
      <w:bookmarkEnd w:id="19"/>
      <w:r>
        <w:rPr>
          <w:rFonts w:hint="eastAsia"/>
          <w:lang w:val="en-US" w:eastAsia="zh-CN"/>
        </w:rPr>
        <w:t xml:space="preserve"> still FFS.</w:t>
      </w:r>
    </w:p>
    <w:p>
      <w:pPr>
        <w:pStyle w:val="75"/>
        <w:rPr>
          <w:bCs/>
        </w:rPr>
      </w:pPr>
      <w:r>
        <w:t xml:space="preserve">Table </w:t>
      </w:r>
      <w:r>
        <w:rPr>
          <w:lang w:eastAsia="zh-CN"/>
        </w:rPr>
        <w:t>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Style w:val="25"/>
        <w:tblW w:w="7820" w:type="dxa"/>
        <w:jc w:val="center"/>
        <w:tblLayout w:type="fixed"/>
        <w:tblCellMar>
          <w:top w:w="0" w:type="dxa"/>
          <w:left w:w="0" w:type="dxa"/>
          <w:bottom w:w="0" w:type="dxa"/>
          <w:right w:w="0" w:type="dxa"/>
        </w:tblCellMar>
      </w:tblPr>
      <w:tblGrid>
        <w:gridCol w:w="3325"/>
        <w:gridCol w:w="4495"/>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47"/>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rPr>
                      <w:rFonts w:ascii="Cambria Math" w:hAnsi="Cambria Math" w:eastAsia="Malgun Gothic"/>
                      <w:bCs/>
                      <w:i/>
                      <w:iCs/>
                      <w:sz w:val="20"/>
                    </w:rPr>
                  </m:ctrlPr>
                </m:sSubPr>
                <m:e>
                  <m:r>
                    <m:rPr>
                      <m:sty m:val="bi"/>
                    </m:rPr>
                    <w:rPr>
                      <w:rFonts w:ascii="Cambria Math" w:hAnsi="Cambria Math"/>
                      <w:sz w:val="20"/>
                    </w:rPr>
                    <m:t>T</m:t>
                  </m:r>
                  <m:ctrlPr>
                    <w:rPr>
                      <w:rFonts w:ascii="Cambria Math" w:hAnsi="Cambria Math" w:eastAsia="Malgun Gothic"/>
                      <w:bCs/>
                      <w:i/>
                      <w:iCs/>
                      <w:sz w:val="20"/>
                    </w:rPr>
                  </m:ctrlPr>
                </m:e>
                <m:sub>
                  <m:r>
                    <m:rPr>
                      <m:sty m:val="bi"/>
                    </m:rPr>
                    <w:rPr>
                      <w:rFonts w:ascii="Cambria Math" w:hAnsi="Cambria Math"/>
                      <w:sz w:val="20"/>
                    </w:rPr>
                    <m:t>cg</m:t>
                  </m:r>
                  <m:ctrlPr>
                    <w:rPr>
                      <w:rFonts w:ascii="Cambria Math" w:hAnsi="Cambria Math" w:eastAsia="Malgun Gothic"/>
                      <w:bCs/>
                      <w:i/>
                      <w:iCs/>
                      <w:sz w:val="20"/>
                    </w:rPr>
                  </m:ctrlPr>
                </m:sub>
              </m:sSub>
            </m:oMath>
            <w:r>
              <w:rPr>
                <w:rFonts w:ascii="Times New Roman" w:hAnsi="Times New Roman"/>
                <w:sz w:val="20"/>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47"/>
              <w:rPr>
                <w:rFonts w:ascii="Times New Roman" w:hAnsi="Times New Roman"/>
                <w:sz w:val="20"/>
              </w:rPr>
            </w:pPr>
            <w:r>
              <w:rPr>
                <w:rFonts w:ascii="Times New Roman" w:hAnsi="Times New Roman"/>
                <w:sz w:val="20"/>
              </w:rPr>
              <w:t>Association period (</w:t>
            </w:r>
            <w:r>
              <w:rPr>
                <w:rFonts w:ascii="Times New Roman" w:hAnsi="Times New Roman"/>
                <w:sz w:val="20"/>
                <w:highlight w:val="yellow"/>
              </w:rPr>
              <w:t xml:space="preserve">number of </w:t>
            </w:r>
            <w:r>
              <w:rPr>
                <w:rFonts w:ascii="Times New Roman" w:hAnsi="Times New Roman"/>
                <w:sz w:val="20"/>
                <w:highlight w:val="yellow"/>
                <w:lang w:eastAsia="zh-CN"/>
              </w:rPr>
              <w:t xml:space="preserve">PUSCH configuration </w:t>
            </w:r>
            <w:r>
              <w:rPr>
                <w:rFonts w:ascii="Times New Roman" w:hAnsi="Times New Roman"/>
                <w:sz w:val="20"/>
                <w:highlight w:val="yellow"/>
              </w:rPr>
              <w:t xml:space="preserve">periods except when </w:t>
            </w:r>
            <w:r>
              <w:rPr>
                <w:rFonts w:ascii="Times New Roman" w:hAnsi="Times New Roman"/>
                <w:sz w:val="20"/>
                <w:highlight w:val="yellow"/>
                <w:lang w:eastAsia="zh-CN"/>
              </w:rPr>
              <w:t xml:space="preserve">PUSCH configuration </w:t>
            </w:r>
            <w:r>
              <w:rPr>
                <w:rFonts w:ascii="Times New Roman" w:hAnsi="Times New Roman"/>
                <w:sz w:val="20"/>
                <w:highlight w:val="yellow"/>
              </w:rPr>
              <w:t>period is less than 5 ms</w:t>
            </w:r>
            <w:r>
              <w:rPr>
                <w:rFonts w:ascii="Times New Roman" w:hAnsi="Times New Roman"/>
                <w:sz w:val="20"/>
                <w:highlight w:val="yellow"/>
                <w:lang w:eastAsia="zh-CN"/>
              </w:rPr>
              <w:t>ec</w:t>
            </w:r>
            <w:r>
              <w:rPr>
                <w:rFonts w:ascii="Times New Roman" w:hAnsi="Times New Roman"/>
                <w:sz w:val="20"/>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8,16, 32, 64, 128}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8,16, 32, 64}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5, 8,10,20,40}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w:t>
            </w:r>
            <w:r>
              <w:rPr>
                <w:rFonts w:ascii="Times New Roman" w:hAnsi="Times New Roman"/>
                <w:sz w:val="20"/>
                <w:lang w:eastAsia="zh-CN"/>
              </w:rPr>
              <w:t xml:space="preserve"> </w:t>
            </w:r>
            <w:r>
              <w:rPr>
                <w:rFonts w:ascii="Times New Roman" w:hAnsi="Times New Roman"/>
                <w:sz w:val="20"/>
              </w:rPr>
              <w:t>}</w:t>
            </w:r>
          </w:p>
        </w:tc>
      </w:tr>
    </w:tbl>
    <w:p>
      <w:pPr>
        <w:snapToGrid w:val="0"/>
        <w:spacing w:before="120" w:beforeLines="50" w:after="120" w:afterLines="50" w:line="240" w:lineRule="auto"/>
        <w:jc w:val="both"/>
        <w:rPr>
          <w:rFonts w:eastAsia="宋体"/>
          <w:szCs w:val="22"/>
          <w:lang w:val="en-US" w:eastAsia="zh-CN"/>
        </w:rPr>
      </w:pPr>
      <w:r>
        <w:rPr>
          <w:rFonts w:hint="eastAsia" w:eastAsia="宋体"/>
          <w:lang w:val="en-US" w:eastAsia="zh-CN"/>
        </w:rPr>
        <w:t>In Rel-15/Rel-16, the candidate values of CG periodicity for different</w:t>
      </w:r>
      <w:r>
        <w:rPr>
          <w:rFonts w:hint="eastAsia" w:eastAsia="宋体"/>
          <w:szCs w:val="22"/>
          <w:lang w:val="en-US" w:eastAsia="zh-CN"/>
        </w:rPr>
        <w:t xml:space="preserve"> </w:t>
      </w:r>
      <w:r>
        <w:rPr>
          <w:szCs w:val="22"/>
          <w:lang w:eastAsia="sv-SE"/>
        </w:rPr>
        <w:t>subcarrier spacing</w:t>
      </w:r>
      <w:r>
        <w:rPr>
          <w:rFonts w:hint="eastAsia" w:eastAsia="宋体"/>
          <w:szCs w:val="22"/>
          <w:lang w:val="en-US" w:eastAsia="zh-CN"/>
        </w:rPr>
        <w:t xml:space="preserve">s are shown in </w:t>
      </w:r>
      <w:r>
        <w:rPr>
          <w:rFonts w:hint="eastAsia" w:eastAsia="宋体"/>
          <w:b/>
          <w:bCs/>
          <w:szCs w:val="22"/>
          <w:lang w:val="en-US" w:eastAsia="zh-CN"/>
        </w:rPr>
        <w:t>Table 2</w:t>
      </w:r>
      <w:r>
        <w:rPr>
          <w:rFonts w:hint="eastAsia" w:eastAsia="宋体"/>
          <w:szCs w:val="22"/>
          <w:lang w:val="en-US" w:eastAsia="zh-CN"/>
        </w:rPr>
        <w:t>[3];</w:t>
      </w:r>
    </w:p>
    <w:p>
      <w:pPr>
        <w:pStyle w:val="75"/>
        <w:snapToGrid w:val="0"/>
        <w:spacing w:before="120" w:beforeLines="50" w:after="120" w:afterLines="50" w:line="240" w:lineRule="auto"/>
        <w:jc w:val="center"/>
        <w:rPr>
          <w:rFonts w:eastAsia="宋体"/>
          <w:sz w:val="21"/>
          <w:szCs w:val="22"/>
          <w:lang w:val="en-US" w:eastAsia="zh-CN"/>
        </w:rPr>
      </w:pPr>
      <w:r>
        <w:rPr>
          <w:rFonts w:hint="default" w:eastAsia="宋体"/>
          <w:b/>
          <w:bCs w:val="0"/>
          <w:sz w:val="21"/>
          <w:szCs w:val="22"/>
          <w:lang w:val="en-US" w:eastAsia="zh-CN"/>
        </w:rPr>
        <w:t xml:space="preserve">Table 2 </w:t>
      </w:r>
      <w:r>
        <w:rPr>
          <w:rFonts w:hint="default" w:eastAsia="宋体"/>
          <w:sz w:val="21"/>
          <w:szCs w:val="22"/>
          <w:lang w:val="en-US" w:eastAsia="zh-CN"/>
        </w:rPr>
        <w:t>Rel-15/Rel-16 CG p</w:t>
      </w:r>
      <w:r>
        <w:rPr>
          <w:sz w:val="21"/>
          <w:szCs w:val="22"/>
          <w:lang w:eastAsia="sv-SE"/>
        </w:rPr>
        <w:t>eriodicit</w:t>
      </w:r>
      <w:r>
        <w:rPr>
          <w:rFonts w:hint="default" w:eastAsia="宋体"/>
          <w:sz w:val="21"/>
          <w:szCs w:val="22"/>
          <w:lang w:val="en-US" w:eastAsia="zh-CN"/>
        </w:rPr>
        <w:t>y set</w:t>
      </w:r>
    </w:p>
    <w:tbl>
      <w:tblPr>
        <w:tblStyle w:val="26"/>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4050"/>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93" w:type="dxa"/>
          </w:tcPr>
          <w:p>
            <w:pPr>
              <w:snapToGrid w:val="0"/>
              <w:spacing w:before="120" w:beforeLines="50" w:after="120" w:afterLines="50" w:line="240" w:lineRule="auto"/>
              <w:jc w:val="both"/>
              <w:rPr>
                <w:rFonts w:eastAsia="宋体"/>
                <w:szCs w:val="22"/>
                <w:lang w:val="en-US" w:eastAsia="zh-CN"/>
              </w:rPr>
            </w:pPr>
            <w:r>
              <w:rPr>
                <w:rFonts w:hint="eastAsia" w:eastAsia="宋体"/>
                <w:szCs w:val="22"/>
                <w:lang w:val="en-US" w:eastAsia="zh-CN"/>
              </w:rPr>
              <w:t xml:space="preserve"> S</w:t>
            </w:r>
            <w:r>
              <w:rPr>
                <w:szCs w:val="22"/>
                <w:lang w:eastAsia="sv-SE"/>
              </w:rPr>
              <w:t>ubcarrier spacing</w:t>
            </w:r>
          </w:p>
        </w:tc>
        <w:tc>
          <w:tcPr>
            <w:tcW w:w="4050" w:type="dxa"/>
          </w:tcPr>
          <w:p>
            <w:pPr>
              <w:snapToGrid w:val="0"/>
              <w:spacing w:before="120" w:beforeLines="50" w:after="120" w:afterLines="50" w:line="240" w:lineRule="auto"/>
              <w:jc w:val="both"/>
              <w:rPr>
                <w:rFonts w:eastAsia="宋体"/>
                <w:szCs w:val="22"/>
                <w:lang w:val="en-US" w:eastAsia="zh-CN"/>
              </w:rPr>
            </w:pPr>
            <w:r>
              <w:rPr>
                <w:rFonts w:hint="eastAsia" w:eastAsia="宋体"/>
                <w:szCs w:val="22"/>
                <w:lang w:val="en-US" w:eastAsia="zh-CN"/>
              </w:rPr>
              <w:t>Rel-15 p</w:t>
            </w:r>
            <w:r>
              <w:rPr>
                <w:szCs w:val="22"/>
                <w:lang w:eastAsia="sv-SE"/>
              </w:rPr>
              <w:t>eriodicit</w:t>
            </w:r>
            <w:r>
              <w:rPr>
                <w:rFonts w:hint="eastAsia" w:eastAsia="宋体"/>
                <w:szCs w:val="22"/>
                <w:lang w:val="en-US" w:eastAsia="zh-CN"/>
              </w:rPr>
              <w:t>y set(</w:t>
            </w:r>
            <w:r>
              <w:rPr>
                <w:rFonts w:hint="eastAsia" w:ascii="Times New Roman" w:hAnsi="Times New Roman" w:eastAsia="宋体" w:cs="Times New Roman"/>
                <w:szCs w:val="22"/>
                <w:lang w:val="en-US" w:eastAsia="zh-CN"/>
              </w:rPr>
              <w:t>unit</w:t>
            </w:r>
            <w:r>
              <w:rPr>
                <w:rFonts w:hint="eastAsia" w:eastAsia="宋体"/>
                <w:szCs w:val="22"/>
                <w:lang w:val="en-US" w:eastAsia="zh-CN"/>
              </w:rPr>
              <w:t>:symbols)</w:t>
            </w:r>
          </w:p>
        </w:tc>
        <w:tc>
          <w:tcPr>
            <w:tcW w:w="3397" w:type="dxa"/>
          </w:tcPr>
          <w:p>
            <w:pPr>
              <w:snapToGrid w:val="0"/>
              <w:spacing w:before="120" w:beforeLines="50" w:after="120" w:afterLines="50" w:line="240" w:lineRule="auto"/>
              <w:jc w:val="both"/>
              <w:rPr>
                <w:szCs w:val="22"/>
                <w:lang w:eastAsia="sv-SE"/>
              </w:rPr>
            </w:pPr>
            <w:r>
              <w:rPr>
                <w:rFonts w:hint="eastAsia" w:eastAsia="宋体"/>
                <w:szCs w:val="22"/>
                <w:lang w:val="en-US" w:eastAsia="zh-CN"/>
              </w:rPr>
              <w:t>Rel-16 p</w:t>
            </w:r>
            <w:r>
              <w:rPr>
                <w:szCs w:val="22"/>
                <w:lang w:eastAsia="sv-SE"/>
              </w:rPr>
              <w:t>eriodicit</w:t>
            </w:r>
            <w:r>
              <w:rPr>
                <w:rFonts w:hint="eastAsia" w:eastAsia="宋体"/>
                <w:szCs w:val="22"/>
                <w:lang w:val="en-US" w:eastAsia="zh-CN"/>
              </w:rPr>
              <w:t>y set(unit:symbols)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93" w:type="dxa"/>
          </w:tcPr>
          <w:p>
            <w:pPr>
              <w:snapToGrid w:val="0"/>
              <w:spacing w:before="120" w:beforeLines="50" w:after="120" w:afterLines="50" w:line="240" w:lineRule="auto"/>
              <w:jc w:val="both"/>
              <w:rPr>
                <w:rFonts w:eastAsia="宋体"/>
                <w:szCs w:val="22"/>
                <w:lang w:val="en-US" w:eastAsia="zh-CN"/>
              </w:rPr>
            </w:pPr>
            <w:r>
              <w:rPr>
                <w:szCs w:val="22"/>
                <w:lang w:eastAsia="sv-SE"/>
              </w:rPr>
              <w:t>15 kHz</w:t>
            </w:r>
          </w:p>
        </w:tc>
        <w:tc>
          <w:tcPr>
            <w:tcW w:w="4050" w:type="dxa"/>
          </w:tcPr>
          <w:p>
            <w:pPr>
              <w:snapToGrid w:val="0"/>
              <w:spacing w:before="120" w:beforeLines="50" w:after="120" w:afterLines="50" w:line="240" w:lineRule="auto"/>
              <w:jc w:val="both"/>
              <w:rPr>
                <w:rFonts w:eastAsia="宋体"/>
                <w:szCs w:val="22"/>
                <w:lang w:val="en-US" w:eastAsia="zh-CN"/>
              </w:rPr>
            </w:pPr>
            <w:r>
              <w:rPr>
                <w:szCs w:val="22"/>
                <w:lang w:eastAsia="sv-SE"/>
              </w:rPr>
              <w:t>2, 7, n*14, where n={1, 2, 4, 5, 8, 10, 16, 20, 32, 40, 64, 80, 128, 160, 320, 640}</w:t>
            </w:r>
          </w:p>
        </w:tc>
        <w:tc>
          <w:tcPr>
            <w:tcW w:w="3397" w:type="dxa"/>
          </w:tcPr>
          <w:p>
            <w:pPr>
              <w:snapToGrid w:val="0"/>
              <w:spacing w:before="120" w:beforeLines="50" w:after="120" w:afterLines="50" w:line="240" w:lineRule="auto"/>
              <w:jc w:val="both"/>
              <w:rPr>
                <w:rFonts w:eastAsia="宋体"/>
                <w:szCs w:val="22"/>
                <w:lang w:val="en-US" w:eastAsia="zh-CN"/>
              </w:rPr>
            </w:pPr>
            <w:r>
              <w:rPr>
                <w:szCs w:val="22"/>
                <w:lang w:eastAsia="sv-SE"/>
              </w:rPr>
              <w:t>n*14</w:t>
            </w:r>
            <w:r>
              <w:rPr>
                <w:rFonts w:hint="eastAsia" w:eastAsia="宋体"/>
                <w:szCs w:val="22"/>
                <w:lang w:val="en-US" w:eastAsia="zh-CN"/>
              </w:rPr>
              <w:t>,</w:t>
            </w:r>
            <w:r>
              <w:rPr>
                <w:szCs w:val="22"/>
                <w:lang w:eastAsia="sv-SE"/>
              </w:rPr>
              <w:t>where n</w:t>
            </w:r>
            <w:r>
              <w:rPr>
                <w:rFonts w:hint="eastAsia" w:eastAsia="宋体"/>
                <w:szCs w:val="22"/>
                <w:lang w:val="en-US" w:eastAsia="zh-CN"/>
              </w:rPr>
              <w:t xml:space="preserve"> </w:t>
            </w:r>
            <w:r>
              <w:rPr>
                <w:szCs w:val="22"/>
                <w:lang w:eastAsia="sv-SE"/>
              </w:rPr>
              <w:t>has a value between 1 and 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793" w:type="dxa"/>
          </w:tcPr>
          <w:p>
            <w:pPr>
              <w:snapToGrid w:val="0"/>
              <w:spacing w:before="120" w:beforeLines="50" w:after="120" w:afterLines="50" w:line="240" w:lineRule="auto"/>
              <w:jc w:val="both"/>
              <w:rPr>
                <w:rFonts w:eastAsia="宋体"/>
                <w:szCs w:val="22"/>
                <w:lang w:val="en-US" w:eastAsia="zh-CN"/>
              </w:rPr>
            </w:pPr>
            <w:r>
              <w:rPr>
                <w:szCs w:val="22"/>
                <w:lang w:eastAsia="sv-SE"/>
              </w:rPr>
              <w:t>30 kHz</w:t>
            </w:r>
          </w:p>
        </w:tc>
        <w:tc>
          <w:tcPr>
            <w:tcW w:w="4050" w:type="dxa"/>
          </w:tcPr>
          <w:p>
            <w:pPr>
              <w:snapToGrid w:val="0"/>
              <w:spacing w:before="120" w:beforeLines="50" w:after="120" w:afterLines="50" w:line="240" w:lineRule="auto"/>
              <w:jc w:val="both"/>
              <w:rPr>
                <w:rFonts w:eastAsia="宋体"/>
                <w:szCs w:val="22"/>
                <w:lang w:val="en-US" w:eastAsia="zh-CN"/>
              </w:rPr>
            </w:pPr>
            <w:r>
              <w:rPr>
                <w:szCs w:val="22"/>
                <w:lang w:eastAsia="sv-SE"/>
              </w:rPr>
              <w:t>2, 7, n*14, where n={1, 2, 4, 5, 8, 10, 16, 20, 32, 40, 64, 80, 128, 160, 256, 320, 640, 1280}</w:t>
            </w:r>
          </w:p>
        </w:tc>
        <w:tc>
          <w:tcPr>
            <w:tcW w:w="3397" w:type="dxa"/>
          </w:tcPr>
          <w:p>
            <w:pPr>
              <w:snapToGrid w:val="0"/>
              <w:spacing w:before="120" w:beforeLines="50" w:after="120" w:afterLines="50" w:line="240" w:lineRule="auto"/>
              <w:jc w:val="both"/>
              <w:rPr>
                <w:rFonts w:eastAsia="宋体"/>
                <w:szCs w:val="22"/>
                <w:lang w:val="en-US" w:eastAsia="zh-CN"/>
              </w:rPr>
            </w:pPr>
            <w:r>
              <w:rPr>
                <w:szCs w:val="22"/>
                <w:lang w:eastAsia="sv-SE"/>
              </w:rPr>
              <w:t>n*14</w:t>
            </w:r>
            <w:r>
              <w:rPr>
                <w:rFonts w:hint="eastAsia" w:eastAsia="宋体"/>
                <w:szCs w:val="22"/>
                <w:lang w:val="en-US" w:eastAsia="zh-CN"/>
              </w:rPr>
              <w:t>,</w:t>
            </w:r>
            <w:r>
              <w:rPr>
                <w:szCs w:val="22"/>
                <w:lang w:eastAsia="sv-SE"/>
              </w:rPr>
              <w:t>where n</w:t>
            </w:r>
            <w:r>
              <w:rPr>
                <w:rFonts w:hint="eastAsia" w:eastAsia="宋体"/>
                <w:szCs w:val="22"/>
                <w:lang w:val="en-US" w:eastAsia="zh-CN"/>
              </w:rPr>
              <w:t xml:space="preserve"> </w:t>
            </w:r>
            <w:r>
              <w:rPr>
                <w:szCs w:val="22"/>
                <w:lang w:eastAsia="sv-SE"/>
              </w:rPr>
              <w:t>has a value between 1 and 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93" w:type="dxa"/>
          </w:tcPr>
          <w:p>
            <w:pPr>
              <w:snapToGrid w:val="0"/>
              <w:spacing w:before="120" w:beforeLines="50" w:after="120" w:afterLines="50" w:line="240" w:lineRule="auto"/>
              <w:jc w:val="both"/>
              <w:rPr>
                <w:szCs w:val="22"/>
                <w:lang w:eastAsia="sv-SE"/>
              </w:rPr>
            </w:pPr>
            <w:r>
              <w:rPr>
                <w:szCs w:val="22"/>
                <w:lang w:eastAsia="sv-SE"/>
              </w:rPr>
              <w:t>60 kHz with</w:t>
            </w:r>
          </w:p>
          <w:p>
            <w:pPr>
              <w:snapToGrid w:val="0"/>
              <w:spacing w:before="120" w:beforeLines="50" w:after="120" w:afterLines="50" w:line="240" w:lineRule="auto"/>
              <w:jc w:val="both"/>
              <w:rPr>
                <w:rFonts w:eastAsia="宋体"/>
                <w:szCs w:val="22"/>
                <w:lang w:val="en-US" w:eastAsia="zh-CN"/>
              </w:rPr>
            </w:pPr>
            <w:r>
              <w:rPr>
                <w:szCs w:val="22"/>
                <w:lang w:eastAsia="sv-SE"/>
              </w:rPr>
              <w:t xml:space="preserve"> normal CP</w:t>
            </w:r>
          </w:p>
        </w:tc>
        <w:tc>
          <w:tcPr>
            <w:tcW w:w="4050" w:type="dxa"/>
          </w:tcPr>
          <w:p>
            <w:pPr>
              <w:snapToGrid w:val="0"/>
              <w:spacing w:before="120" w:beforeLines="50" w:after="120" w:afterLines="50" w:line="240" w:lineRule="auto"/>
              <w:jc w:val="both"/>
              <w:rPr>
                <w:rFonts w:eastAsia="宋体"/>
                <w:szCs w:val="22"/>
                <w:lang w:val="en-US" w:eastAsia="zh-CN"/>
              </w:rPr>
            </w:pPr>
            <w:r>
              <w:rPr>
                <w:szCs w:val="22"/>
                <w:lang w:eastAsia="sv-SE"/>
              </w:rPr>
              <w:t>2, 7, n*14, where n={1, 2, 4, 5, 8, 10, 16, 20, 32, 40, 64, 80, 128, 160, 256, 320, 512, 640, 1280, 2560}</w:t>
            </w:r>
          </w:p>
        </w:tc>
        <w:tc>
          <w:tcPr>
            <w:tcW w:w="3397" w:type="dxa"/>
          </w:tcPr>
          <w:p>
            <w:pPr>
              <w:snapToGrid w:val="0"/>
              <w:spacing w:before="120" w:beforeLines="50" w:after="120" w:afterLines="50" w:line="240" w:lineRule="auto"/>
              <w:jc w:val="both"/>
              <w:rPr>
                <w:rFonts w:eastAsia="宋体"/>
                <w:szCs w:val="22"/>
                <w:lang w:val="en-US" w:eastAsia="zh-CN"/>
              </w:rPr>
            </w:pPr>
            <w:r>
              <w:rPr>
                <w:szCs w:val="22"/>
                <w:lang w:eastAsia="sv-SE"/>
              </w:rPr>
              <w:t>n*14</w:t>
            </w:r>
            <w:r>
              <w:rPr>
                <w:rFonts w:hint="eastAsia" w:eastAsia="宋体"/>
                <w:szCs w:val="22"/>
                <w:lang w:val="en-US" w:eastAsia="zh-CN"/>
              </w:rPr>
              <w:t>,</w:t>
            </w:r>
            <w:r>
              <w:rPr>
                <w:szCs w:val="22"/>
                <w:lang w:eastAsia="sv-SE"/>
              </w:rPr>
              <w:t>where n</w:t>
            </w:r>
            <w:r>
              <w:rPr>
                <w:rFonts w:hint="eastAsia" w:eastAsia="宋体"/>
                <w:szCs w:val="22"/>
                <w:lang w:val="en-US" w:eastAsia="zh-CN"/>
              </w:rPr>
              <w:t xml:space="preserve"> </w:t>
            </w:r>
            <w:r>
              <w:rPr>
                <w:szCs w:val="22"/>
                <w:lang w:eastAsia="sv-SE"/>
              </w:rPr>
              <w:t>has a value between 1 and 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93" w:type="dxa"/>
          </w:tcPr>
          <w:p>
            <w:pPr>
              <w:snapToGrid w:val="0"/>
              <w:spacing w:before="120" w:beforeLines="50" w:after="120" w:afterLines="50" w:line="240" w:lineRule="auto"/>
              <w:jc w:val="both"/>
              <w:rPr>
                <w:szCs w:val="22"/>
                <w:lang w:eastAsia="sv-SE"/>
              </w:rPr>
            </w:pPr>
            <w:r>
              <w:rPr>
                <w:szCs w:val="22"/>
                <w:lang w:eastAsia="sv-SE"/>
              </w:rPr>
              <w:t>60 kHz with</w:t>
            </w:r>
          </w:p>
          <w:p>
            <w:pPr>
              <w:snapToGrid w:val="0"/>
              <w:spacing w:before="120" w:beforeLines="50" w:after="120" w:afterLines="50" w:line="240" w:lineRule="auto"/>
              <w:jc w:val="both"/>
              <w:rPr>
                <w:rFonts w:eastAsia="宋体"/>
                <w:szCs w:val="22"/>
                <w:lang w:val="en-US" w:eastAsia="zh-CN"/>
              </w:rPr>
            </w:pPr>
            <w:r>
              <w:rPr>
                <w:szCs w:val="22"/>
                <w:lang w:eastAsia="sv-SE"/>
              </w:rPr>
              <w:t xml:space="preserve"> ECP</w:t>
            </w:r>
          </w:p>
        </w:tc>
        <w:tc>
          <w:tcPr>
            <w:tcW w:w="4050" w:type="dxa"/>
          </w:tcPr>
          <w:p>
            <w:pPr>
              <w:snapToGrid w:val="0"/>
              <w:spacing w:before="120" w:beforeLines="50" w:after="120" w:afterLines="50" w:line="240" w:lineRule="auto"/>
              <w:jc w:val="both"/>
              <w:rPr>
                <w:rFonts w:eastAsia="宋体"/>
                <w:szCs w:val="22"/>
                <w:lang w:val="en-US" w:eastAsia="zh-CN"/>
              </w:rPr>
            </w:pPr>
            <w:r>
              <w:rPr>
                <w:szCs w:val="22"/>
                <w:lang w:eastAsia="sv-SE"/>
              </w:rPr>
              <w:t>2, 6, n*12, where n={1, 2, 4, 5, 8, 10, 16, 20, 32, 40, 64, 80, 128, 160, 256, 320, 512, 640, 1280, 2560}</w:t>
            </w:r>
          </w:p>
        </w:tc>
        <w:tc>
          <w:tcPr>
            <w:tcW w:w="3397" w:type="dxa"/>
          </w:tcPr>
          <w:p>
            <w:pPr>
              <w:snapToGrid w:val="0"/>
              <w:spacing w:before="120" w:beforeLines="50" w:after="120" w:afterLines="50" w:line="240" w:lineRule="auto"/>
              <w:jc w:val="both"/>
              <w:rPr>
                <w:rFonts w:eastAsia="宋体"/>
                <w:szCs w:val="22"/>
                <w:lang w:val="en-US" w:eastAsia="zh-CN"/>
              </w:rPr>
            </w:pPr>
            <w:r>
              <w:rPr>
                <w:szCs w:val="22"/>
                <w:lang w:eastAsia="sv-SE"/>
              </w:rPr>
              <w:t>n*14</w:t>
            </w:r>
            <w:r>
              <w:rPr>
                <w:rFonts w:hint="eastAsia" w:eastAsia="宋体"/>
                <w:szCs w:val="22"/>
                <w:lang w:val="en-US" w:eastAsia="zh-CN"/>
              </w:rPr>
              <w:t>,</w:t>
            </w:r>
            <w:r>
              <w:rPr>
                <w:szCs w:val="22"/>
                <w:lang w:eastAsia="sv-SE"/>
              </w:rPr>
              <w:t>where n</w:t>
            </w:r>
            <w:r>
              <w:rPr>
                <w:rFonts w:hint="eastAsia" w:eastAsia="宋体"/>
                <w:szCs w:val="22"/>
                <w:lang w:val="en-US" w:eastAsia="zh-CN"/>
              </w:rPr>
              <w:t xml:space="preserve"> </w:t>
            </w:r>
            <w:r>
              <w:rPr>
                <w:szCs w:val="22"/>
                <w:lang w:eastAsia="sv-SE"/>
              </w:rPr>
              <w:t>has a value between 1 and 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793" w:type="dxa"/>
          </w:tcPr>
          <w:p>
            <w:pPr>
              <w:snapToGrid w:val="0"/>
              <w:spacing w:before="120" w:beforeLines="50" w:after="120" w:afterLines="50" w:line="240" w:lineRule="auto"/>
              <w:jc w:val="both"/>
              <w:rPr>
                <w:rFonts w:eastAsia="宋体"/>
                <w:szCs w:val="22"/>
                <w:lang w:val="en-US" w:eastAsia="zh-CN"/>
              </w:rPr>
            </w:pPr>
            <w:r>
              <w:rPr>
                <w:szCs w:val="22"/>
                <w:lang w:eastAsia="sv-SE"/>
              </w:rPr>
              <w:t>120 kHz</w:t>
            </w:r>
          </w:p>
        </w:tc>
        <w:tc>
          <w:tcPr>
            <w:tcW w:w="4050" w:type="dxa"/>
          </w:tcPr>
          <w:p>
            <w:pPr>
              <w:snapToGrid w:val="0"/>
              <w:spacing w:before="120" w:beforeLines="50" w:after="120" w:afterLines="50" w:line="240" w:lineRule="auto"/>
              <w:jc w:val="both"/>
              <w:rPr>
                <w:rFonts w:eastAsia="宋体"/>
                <w:szCs w:val="22"/>
                <w:lang w:val="en-US" w:eastAsia="zh-CN"/>
              </w:rPr>
            </w:pPr>
            <w:r>
              <w:rPr>
                <w:szCs w:val="22"/>
                <w:lang w:eastAsia="sv-SE"/>
              </w:rPr>
              <w:t>2, 7, n*14, where n={1, 2, 4, 5, 8, 10, 16, 20, 32, 40, 64, 80, 128, 160, 256, 320, 512, 640, 1024, 1280, 2560, 5120}</w:t>
            </w:r>
          </w:p>
        </w:tc>
        <w:tc>
          <w:tcPr>
            <w:tcW w:w="3397" w:type="dxa"/>
          </w:tcPr>
          <w:p>
            <w:pPr>
              <w:snapToGrid w:val="0"/>
              <w:spacing w:before="120" w:beforeLines="50" w:after="120" w:afterLines="50" w:line="240" w:lineRule="auto"/>
              <w:jc w:val="both"/>
              <w:rPr>
                <w:rFonts w:eastAsia="宋体"/>
                <w:szCs w:val="22"/>
                <w:lang w:val="en-US" w:eastAsia="zh-CN"/>
              </w:rPr>
            </w:pPr>
            <w:r>
              <w:rPr>
                <w:szCs w:val="22"/>
                <w:lang w:eastAsia="sv-SE"/>
              </w:rPr>
              <w:t>n*14</w:t>
            </w:r>
            <w:r>
              <w:rPr>
                <w:rFonts w:hint="eastAsia" w:eastAsia="宋体"/>
                <w:szCs w:val="22"/>
                <w:lang w:val="en-US" w:eastAsia="zh-CN"/>
              </w:rPr>
              <w:t>,</w:t>
            </w:r>
            <w:r>
              <w:rPr>
                <w:szCs w:val="22"/>
                <w:lang w:eastAsia="sv-SE"/>
              </w:rPr>
              <w:t>where n</w:t>
            </w:r>
            <w:r>
              <w:rPr>
                <w:rFonts w:hint="eastAsia" w:eastAsia="宋体"/>
                <w:szCs w:val="22"/>
                <w:lang w:val="en-US" w:eastAsia="zh-CN"/>
              </w:rPr>
              <w:t xml:space="preserve"> </w:t>
            </w:r>
            <w:r>
              <w:rPr>
                <w:szCs w:val="22"/>
                <w:lang w:eastAsia="sv-SE"/>
              </w:rPr>
              <w:t>has a value between 1 and 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793" w:type="dxa"/>
          </w:tcPr>
          <w:p>
            <w:pPr>
              <w:snapToGrid w:val="0"/>
              <w:spacing w:before="120" w:beforeLines="50" w:after="120" w:afterLines="50" w:line="240" w:lineRule="auto"/>
              <w:jc w:val="both"/>
              <w:rPr>
                <w:rFonts w:hint="default" w:eastAsia="宋体"/>
                <w:szCs w:val="22"/>
                <w:lang w:val="en-US" w:eastAsia="zh-CN"/>
              </w:rPr>
            </w:pPr>
            <w:r>
              <w:rPr>
                <w:rFonts w:hint="eastAsia" w:eastAsia="宋体"/>
                <w:szCs w:val="22"/>
                <w:lang w:val="en-US" w:eastAsia="zh-CN"/>
              </w:rPr>
              <w:t>480kHz</w:t>
            </w:r>
          </w:p>
        </w:tc>
        <w:tc>
          <w:tcPr>
            <w:tcW w:w="4050" w:type="dxa"/>
          </w:tcPr>
          <w:p>
            <w:pPr>
              <w:snapToGrid w:val="0"/>
              <w:spacing w:before="120" w:beforeLines="50" w:after="120" w:afterLines="50" w:line="240" w:lineRule="auto"/>
              <w:jc w:val="both"/>
              <w:rPr>
                <w:szCs w:val="22"/>
                <w:lang w:eastAsia="sv-SE"/>
              </w:rPr>
            </w:pPr>
            <w:r>
              <w:rPr>
                <w:szCs w:val="22"/>
                <w:lang w:eastAsia="sv-SE"/>
              </w:rPr>
              <w:t>n*14, where n={1, 2, 4, 5, 8, 10, 16, 20, 32, 40, 64, 80, 128, 160, 256, 320, 512, 640, 1024, 1280, 2560, 5120}</w:t>
            </w:r>
          </w:p>
        </w:tc>
        <w:tc>
          <w:tcPr>
            <w:tcW w:w="3397" w:type="dxa"/>
          </w:tcPr>
          <w:p>
            <w:pPr>
              <w:snapToGrid w:val="0"/>
              <w:spacing w:before="120" w:beforeLines="50" w:after="120" w:afterLines="50" w:line="240" w:lineRule="auto"/>
              <w:jc w:val="both"/>
              <w:rPr>
                <w:szCs w:val="22"/>
                <w:lang w:eastAsia="sv-SE"/>
              </w:rPr>
            </w:pPr>
            <w:r>
              <w:rPr>
                <w:rFonts w:hint="eastAsia" w:eastAsia="宋体"/>
                <w:szCs w:val="22"/>
                <w:lang w:val="en-US" w:eastAsia="zh-CN"/>
              </w:rPr>
              <w:t>n</w:t>
            </w:r>
            <w:r>
              <w:rPr>
                <w:szCs w:val="22"/>
                <w:lang w:eastAsia="sv-SE"/>
              </w:rPr>
              <w:t xml:space="preserve">*14, where </w:t>
            </w:r>
            <w:r>
              <w:rPr>
                <w:rFonts w:hint="eastAsia" w:eastAsia="宋体"/>
                <w:szCs w:val="22"/>
                <w:lang w:val="en-US" w:eastAsia="zh-CN"/>
              </w:rPr>
              <w:t xml:space="preserve">n </w:t>
            </w:r>
            <w:r>
              <w:rPr>
                <w:szCs w:val="22"/>
                <w:lang w:eastAsia="sv-SE"/>
              </w:rPr>
              <w:t>has a value between 1 and 20480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793" w:type="dxa"/>
          </w:tcPr>
          <w:p>
            <w:pPr>
              <w:snapToGrid w:val="0"/>
              <w:spacing w:before="120" w:beforeLines="50" w:after="120" w:afterLines="50" w:line="240" w:lineRule="auto"/>
              <w:jc w:val="both"/>
              <w:rPr>
                <w:rFonts w:hint="default" w:eastAsia="宋体"/>
                <w:szCs w:val="22"/>
                <w:lang w:val="en-US" w:eastAsia="zh-CN"/>
              </w:rPr>
            </w:pPr>
            <w:r>
              <w:rPr>
                <w:rFonts w:hint="eastAsia" w:eastAsia="宋体"/>
                <w:szCs w:val="22"/>
                <w:lang w:val="en-US" w:eastAsia="zh-CN"/>
              </w:rPr>
              <w:t>960kHz</w:t>
            </w:r>
          </w:p>
        </w:tc>
        <w:tc>
          <w:tcPr>
            <w:tcW w:w="4050" w:type="dxa"/>
          </w:tcPr>
          <w:p>
            <w:pPr>
              <w:snapToGrid w:val="0"/>
              <w:spacing w:before="120" w:beforeLines="50" w:after="120" w:afterLines="50" w:line="240" w:lineRule="auto"/>
              <w:jc w:val="both"/>
              <w:rPr>
                <w:szCs w:val="22"/>
                <w:lang w:eastAsia="sv-SE"/>
              </w:rPr>
            </w:pPr>
            <w:r>
              <w:rPr>
                <w:szCs w:val="22"/>
                <w:lang w:eastAsia="sv-SE"/>
              </w:rPr>
              <w:t>n*14, where n={1, 2, 4, 5, 8, 10, 16, 20, 32, 40, 64, 80, 128, 160, 256, 320, 512, 640, 1024, 1280, 2560, 5120}</w:t>
            </w:r>
          </w:p>
        </w:tc>
        <w:tc>
          <w:tcPr>
            <w:tcW w:w="3397" w:type="dxa"/>
          </w:tcPr>
          <w:p>
            <w:pPr>
              <w:snapToGrid w:val="0"/>
              <w:spacing w:before="120" w:beforeLines="50" w:after="120" w:afterLines="50" w:line="240" w:lineRule="auto"/>
              <w:jc w:val="both"/>
              <w:rPr>
                <w:szCs w:val="22"/>
                <w:lang w:eastAsia="sv-SE"/>
              </w:rPr>
            </w:pPr>
            <w:r>
              <w:rPr>
                <w:rFonts w:hint="eastAsia" w:eastAsia="宋体"/>
                <w:szCs w:val="22"/>
                <w:lang w:val="en-US" w:eastAsia="zh-CN"/>
              </w:rPr>
              <w:t>n</w:t>
            </w:r>
            <w:r>
              <w:rPr>
                <w:szCs w:val="22"/>
                <w:lang w:eastAsia="sv-SE"/>
              </w:rPr>
              <w:t xml:space="preserve">*14, where </w:t>
            </w:r>
            <w:r>
              <w:rPr>
                <w:rFonts w:hint="eastAsia" w:eastAsia="宋体"/>
                <w:szCs w:val="22"/>
                <w:lang w:val="en-US" w:eastAsia="zh-CN"/>
              </w:rPr>
              <w:t xml:space="preserve">n </w:t>
            </w:r>
            <w:r>
              <w:rPr>
                <w:szCs w:val="22"/>
                <w:lang w:eastAsia="sv-SE"/>
              </w:rPr>
              <w:t>has a value between 1 and 40960</w:t>
            </w:r>
          </w:p>
        </w:tc>
      </w:tr>
    </w:tbl>
    <w:p>
      <w:pPr>
        <w:rPr>
          <w:rFonts w:hint="eastAsia" w:eastAsia="宋体"/>
          <w:lang w:val="en-US" w:eastAsia="zh-CN"/>
        </w:rPr>
      </w:pPr>
    </w:p>
    <w:p>
      <w:pPr>
        <w:rPr>
          <w:rFonts w:hint="eastAsia" w:eastAsia="宋体"/>
          <w:lang w:val="en-US" w:eastAsia="zh-CN"/>
        </w:rPr>
      </w:pPr>
      <w:r>
        <w:rPr>
          <w:rFonts w:hint="eastAsia" w:eastAsia="宋体"/>
          <w:lang w:val="en-US" w:eastAsia="zh-CN"/>
        </w:rPr>
        <w:t xml:space="preserve">Among the CG period values in Table 1, the values that less than 1ms can be further summarized as shown in </w:t>
      </w:r>
      <w:r>
        <w:rPr>
          <w:rFonts w:hint="eastAsia" w:eastAsia="宋体"/>
          <w:b/>
          <w:bCs/>
          <w:lang w:val="en-US" w:eastAsia="zh-CN"/>
        </w:rPr>
        <w:t>Table 3</w:t>
      </w:r>
      <w:r>
        <w:rPr>
          <w:rFonts w:hint="eastAsia" w:eastAsia="宋体"/>
          <w:lang w:val="en-US" w:eastAsia="zh-CN"/>
        </w:rPr>
        <w:t>.</w:t>
      </w:r>
    </w:p>
    <w:p>
      <w:pPr>
        <w:pStyle w:val="75"/>
        <w:jc w:val="center"/>
        <w:rPr>
          <w:rFonts w:hint="default" w:eastAsia="宋体"/>
          <w:sz w:val="21"/>
          <w:szCs w:val="22"/>
          <w:lang w:val="en-US" w:eastAsia="zh-CN"/>
        </w:rPr>
      </w:pPr>
      <w:r>
        <w:rPr>
          <w:rFonts w:hint="default" w:eastAsia="宋体"/>
          <w:b/>
          <w:bCs w:val="0"/>
          <w:sz w:val="21"/>
          <w:szCs w:val="22"/>
          <w:lang w:val="en-US" w:eastAsia="zh-CN"/>
        </w:rPr>
        <w:t>Table 3</w:t>
      </w:r>
      <w:r>
        <w:rPr>
          <w:rFonts w:hint="default" w:eastAsia="宋体"/>
          <w:sz w:val="21"/>
          <w:szCs w:val="22"/>
          <w:lang w:val="en-US" w:eastAsia="zh-CN"/>
        </w:rPr>
        <w:t xml:space="preserve"> CG period values less than 1ms</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3666"/>
        <w:gridCol w:w="3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rPr>
                <w:rFonts w:hint="default"/>
                <w:vertAlign w:val="baseline"/>
                <w:lang w:val="en-US" w:eastAsia="zh-CN"/>
              </w:rPr>
            </w:pPr>
            <w:r>
              <w:rPr>
                <w:rFonts w:hint="eastAsia"/>
                <w:vertAlign w:val="baseline"/>
                <w:lang w:val="en-US" w:eastAsia="zh-CN"/>
              </w:rPr>
              <w:t>SCS</w:t>
            </w:r>
          </w:p>
        </w:tc>
        <w:tc>
          <w:tcPr>
            <w:tcW w:w="3666" w:type="dxa"/>
          </w:tcPr>
          <w:p>
            <w:pPr>
              <w:rPr>
                <w:rFonts w:hint="default"/>
                <w:vertAlign w:val="baseline"/>
                <w:lang w:val="en-US" w:eastAsia="zh-CN"/>
              </w:rPr>
            </w:pPr>
            <w:r>
              <w:rPr>
                <w:rFonts w:hint="eastAsia"/>
                <w:vertAlign w:val="baseline"/>
                <w:lang w:val="en-US" w:eastAsia="zh-CN"/>
              </w:rPr>
              <w:t>CG period(sym, slot)</w:t>
            </w:r>
          </w:p>
        </w:tc>
        <w:tc>
          <w:tcPr>
            <w:tcW w:w="3890" w:type="dxa"/>
          </w:tcPr>
          <w:p>
            <w:pPr>
              <w:rPr>
                <w:rFonts w:hint="eastAsia"/>
                <w:vertAlign w:val="baseline"/>
                <w:lang w:val="en-US" w:eastAsia="zh-CN"/>
              </w:rPr>
            </w:pPr>
            <w:r>
              <w:rPr>
                <w:rFonts w:hint="eastAsia"/>
                <w:vertAlign w:val="baseline"/>
                <w:lang w:val="en-US" w:eastAsia="zh-CN"/>
              </w:rPr>
              <w:t>CG period(ms)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rPr>
                <w:rFonts w:hint="default" w:eastAsia="宋体"/>
                <w:vertAlign w:val="baseline"/>
                <w:lang w:val="en-US" w:eastAsia="zh-CN"/>
              </w:rPr>
            </w:pPr>
            <w:r>
              <w:rPr>
                <w:rFonts w:hint="eastAsia"/>
                <w:vertAlign w:val="baseline"/>
                <w:lang w:val="en-US" w:eastAsia="zh-CN"/>
              </w:rPr>
              <w:t>15 kHz</w:t>
            </w:r>
          </w:p>
        </w:tc>
        <w:tc>
          <w:tcPr>
            <w:tcW w:w="3666" w:type="dxa"/>
          </w:tcPr>
          <w:p>
            <w:pPr>
              <w:rPr>
                <w:rFonts w:hint="default" w:eastAsia="宋体"/>
                <w:vertAlign w:val="baseline"/>
                <w:lang w:val="en-US" w:eastAsia="zh-CN"/>
              </w:rPr>
            </w:pPr>
            <w:r>
              <w:rPr>
                <w:rFonts w:hint="eastAsia"/>
                <w:vertAlign w:val="baseline"/>
                <w:lang w:val="en-US" w:eastAsia="zh-CN"/>
              </w:rPr>
              <w:t>2 sym, 7 sym</w:t>
            </w:r>
          </w:p>
        </w:tc>
        <w:tc>
          <w:tcPr>
            <w:tcW w:w="3890" w:type="dxa"/>
          </w:tcPr>
          <w:p>
            <w:pPr>
              <w:rPr>
                <w:rFonts w:hint="default" w:eastAsia="宋体"/>
                <w:vertAlign w:val="baseline"/>
                <w:lang w:val="en-US" w:eastAsia="zh-CN"/>
              </w:rPr>
            </w:pPr>
            <w:r>
              <w:rPr>
                <w:rFonts w:hint="eastAsia"/>
                <w:highlight w:val="yellow"/>
                <w:vertAlign w:val="baseline"/>
                <w:lang w:val="en-US" w:eastAsia="zh-CN"/>
              </w:rPr>
              <w:t>0.14</w:t>
            </w:r>
            <w:r>
              <w:rPr>
                <w:rFonts w:hint="eastAsia"/>
                <w:vertAlign w:val="baseline"/>
                <w:lang w:val="en-US" w:eastAsia="zh-CN"/>
              </w:rPr>
              <w:t>,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rPr>
                <w:rFonts w:hint="default" w:eastAsia="宋体"/>
                <w:vertAlign w:val="baseline"/>
                <w:lang w:val="en-US" w:eastAsia="zh-CN"/>
              </w:rPr>
            </w:pPr>
            <w:r>
              <w:rPr>
                <w:rFonts w:hint="eastAsia"/>
                <w:vertAlign w:val="baseline"/>
                <w:lang w:val="en-US" w:eastAsia="zh-CN"/>
              </w:rPr>
              <w:t>30 kHz</w:t>
            </w:r>
          </w:p>
        </w:tc>
        <w:tc>
          <w:tcPr>
            <w:tcW w:w="3666" w:type="dxa"/>
          </w:tcPr>
          <w:p>
            <w:pPr>
              <w:rPr>
                <w:rFonts w:hint="default"/>
                <w:vertAlign w:val="baseline"/>
                <w:lang w:val="en-US"/>
              </w:rPr>
            </w:pPr>
            <w:r>
              <w:rPr>
                <w:rFonts w:hint="eastAsia"/>
                <w:vertAlign w:val="baseline"/>
                <w:lang w:val="en-US" w:eastAsia="zh-CN"/>
              </w:rPr>
              <w:t>2 sym, 7 sym, 1 slot</w:t>
            </w:r>
          </w:p>
        </w:tc>
        <w:tc>
          <w:tcPr>
            <w:tcW w:w="3890" w:type="dxa"/>
          </w:tcPr>
          <w:p>
            <w:pPr>
              <w:rPr>
                <w:rFonts w:hint="default" w:eastAsia="宋体"/>
                <w:vertAlign w:val="baseline"/>
                <w:lang w:val="en-US" w:eastAsia="zh-CN"/>
              </w:rPr>
            </w:pPr>
            <w:r>
              <w:rPr>
                <w:rFonts w:hint="eastAsia"/>
                <w:highlight w:val="yellow"/>
                <w:vertAlign w:val="baseline"/>
                <w:lang w:val="en-US" w:eastAsia="zh-CN"/>
              </w:rPr>
              <w:t>0.07</w:t>
            </w:r>
            <w:r>
              <w:rPr>
                <w:rFonts w:hint="eastAsia"/>
                <w:vertAlign w:val="baseline"/>
                <w:lang w:val="en-US" w:eastAsia="zh-CN"/>
              </w:rPr>
              <w:t>, 0.25,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rPr>
                <w:rFonts w:hint="default" w:eastAsia="宋体"/>
                <w:vertAlign w:val="baseline"/>
                <w:lang w:val="en-US" w:eastAsia="zh-CN"/>
              </w:rPr>
            </w:pPr>
            <w:r>
              <w:rPr>
                <w:rFonts w:hint="eastAsia"/>
                <w:vertAlign w:val="baseline"/>
                <w:lang w:val="en-US" w:eastAsia="zh-CN"/>
              </w:rPr>
              <w:t>60 kHz</w:t>
            </w:r>
          </w:p>
        </w:tc>
        <w:tc>
          <w:tcPr>
            <w:tcW w:w="3666" w:type="dxa"/>
          </w:tcPr>
          <w:p>
            <w:pPr>
              <w:rPr>
                <w:rFonts w:hint="default"/>
                <w:vertAlign w:val="baseline"/>
                <w:lang w:val="en-US"/>
              </w:rPr>
            </w:pPr>
            <w:r>
              <w:rPr>
                <w:rFonts w:hint="eastAsia"/>
                <w:vertAlign w:val="baseline"/>
                <w:lang w:val="en-US" w:eastAsia="zh-CN"/>
              </w:rPr>
              <w:t>2 sym, 7 sym, 1 slot, 2 slot</w:t>
            </w:r>
          </w:p>
        </w:tc>
        <w:tc>
          <w:tcPr>
            <w:tcW w:w="3890" w:type="dxa"/>
          </w:tcPr>
          <w:p>
            <w:pPr>
              <w:rPr>
                <w:rFonts w:hint="default" w:eastAsia="宋体"/>
                <w:vertAlign w:val="baseline"/>
                <w:lang w:val="en-US" w:eastAsia="zh-CN"/>
              </w:rPr>
            </w:pPr>
            <w:r>
              <w:rPr>
                <w:rFonts w:hint="eastAsia"/>
                <w:highlight w:val="yellow"/>
                <w:vertAlign w:val="baseline"/>
                <w:lang w:val="en-US" w:eastAsia="zh-CN"/>
              </w:rPr>
              <w:t>0.035</w:t>
            </w:r>
            <w:r>
              <w:rPr>
                <w:rFonts w:hint="eastAsia"/>
                <w:vertAlign w:val="baseline"/>
                <w:lang w:val="en-US" w:eastAsia="zh-CN"/>
              </w:rPr>
              <w:t>, 0.125, 0.25,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rPr>
                <w:rFonts w:hint="default" w:eastAsia="宋体"/>
                <w:vertAlign w:val="baseline"/>
                <w:lang w:val="en-US" w:eastAsia="zh-CN"/>
              </w:rPr>
            </w:pPr>
            <w:r>
              <w:rPr>
                <w:rFonts w:hint="eastAsia"/>
                <w:vertAlign w:val="baseline"/>
                <w:lang w:val="en-US" w:eastAsia="zh-CN"/>
              </w:rPr>
              <w:t>120 kHz</w:t>
            </w:r>
          </w:p>
        </w:tc>
        <w:tc>
          <w:tcPr>
            <w:tcW w:w="3666" w:type="dxa"/>
          </w:tcPr>
          <w:p>
            <w:pPr>
              <w:rPr>
                <w:rFonts w:hint="default"/>
                <w:vertAlign w:val="baseline"/>
                <w:lang w:val="en-US"/>
              </w:rPr>
            </w:pPr>
            <w:r>
              <w:rPr>
                <w:rFonts w:hint="eastAsia"/>
                <w:vertAlign w:val="baseline"/>
                <w:lang w:val="en-US" w:eastAsia="zh-CN"/>
              </w:rPr>
              <w:t>2 sym, 7 sym, 1 slot, 2 slot, 4 slot</w:t>
            </w:r>
          </w:p>
        </w:tc>
        <w:tc>
          <w:tcPr>
            <w:tcW w:w="3890" w:type="dxa"/>
          </w:tcPr>
          <w:p>
            <w:pPr>
              <w:rPr>
                <w:rFonts w:hint="default" w:eastAsia="宋体"/>
                <w:vertAlign w:val="baseline"/>
                <w:lang w:val="en-US" w:eastAsia="zh-CN"/>
              </w:rPr>
            </w:pPr>
            <w:r>
              <w:rPr>
                <w:rFonts w:hint="eastAsia"/>
                <w:highlight w:val="yellow"/>
                <w:vertAlign w:val="baseline"/>
                <w:lang w:val="en-US" w:eastAsia="zh-CN"/>
              </w:rPr>
              <w:t>0.018</w:t>
            </w:r>
            <w:r>
              <w:rPr>
                <w:rFonts w:hint="eastAsia"/>
                <w:vertAlign w:val="baseline"/>
                <w:lang w:val="en-US" w:eastAsia="zh-CN"/>
              </w:rPr>
              <w:t>, 0.0625, 0.125, 0.25,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rPr>
                <w:rFonts w:hint="default" w:eastAsia="宋体"/>
                <w:vertAlign w:val="baseline"/>
                <w:lang w:val="en-US" w:eastAsia="zh-CN"/>
              </w:rPr>
            </w:pPr>
            <w:r>
              <w:rPr>
                <w:rFonts w:hint="eastAsia"/>
                <w:vertAlign w:val="baseline"/>
                <w:lang w:val="en-US" w:eastAsia="zh-CN"/>
              </w:rPr>
              <w:t>480 kHz</w:t>
            </w:r>
          </w:p>
        </w:tc>
        <w:tc>
          <w:tcPr>
            <w:tcW w:w="3666" w:type="dxa"/>
          </w:tcPr>
          <w:p>
            <w:pPr>
              <w:rPr>
                <w:rFonts w:hint="default"/>
                <w:vertAlign w:val="baseline"/>
                <w:lang w:val="en-US"/>
              </w:rPr>
            </w:pPr>
            <w:r>
              <w:rPr>
                <w:rFonts w:hint="eastAsia"/>
                <w:vertAlign w:val="baseline"/>
                <w:lang w:val="en-US" w:eastAsia="zh-CN"/>
              </w:rPr>
              <w:t>1 slot, 2 slot, 4 slot, 8 slot, 16 slot</w:t>
            </w:r>
          </w:p>
        </w:tc>
        <w:tc>
          <w:tcPr>
            <w:tcW w:w="3890" w:type="dxa"/>
          </w:tcPr>
          <w:p>
            <w:pPr>
              <w:rPr>
                <w:rFonts w:hint="default" w:eastAsia="宋体"/>
                <w:vertAlign w:val="baseline"/>
                <w:lang w:val="en-US" w:eastAsia="zh-CN"/>
              </w:rPr>
            </w:pPr>
            <w:r>
              <w:rPr>
                <w:rFonts w:hint="eastAsia"/>
                <w:vertAlign w:val="baseline"/>
                <w:lang w:val="en-US" w:eastAsia="zh-CN"/>
              </w:rPr>
              <w:t>0.03125, 0.0625, 0.125, 0.25, 0.5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tcPr>
          <w:p>
            <w:pPr>
              <w:rPr>
                <w:rFonts w:hint="default" w:eastAsia="宋体"/>
                <w:vertAlign w:val="baseline"/>
                <w:lang w:val="en-US" w:eastAsia="zh-CN"/>
              </w:rPr>
            </w:pPr>
            <w:r>
              <w:rPr>
                <w:rFonts w:hint="eastAsia"/>
                <w:vertAlign w:val="baseline"/>
                <w:lang w:val="en-US" w:eastAsia="zh-CN"/>
              </w:rPr>
              <w:t>960 kHz</w:t>
            </w:r>
          </w:p>
        </w:tc>
        <w:tc>
          <w:tcPr>
            <w:tcW w:w="3666" w:type="dxa"/>
          </w:tcPr>
          <w:p>
            <w:pPr>
              <w:rPr>
                <w:rFonts w:hint="default"/>
                <w:vertAlign w:val="baseline"/>
                <w:lang w:val="en-US"/>
              </w:rPr>
            </w:pPr>
            <w:r>
              <w:rPr>
                <w:rFonts w:hint="eastAsia"/>
                <w:vertAlign w:val="baseline"/>
                <w:lang w:val="en-US" w:eastAsia="zh-CN"/>
              </w:rPr>
              <w:t>1 slot, 2 slot, 4 slot, 8 slot, 16 slot, 32 slot</w:t>
            </w:r>
          </w:p>
        </w:tc>
        <w:tc>
          <w:tcPr>
            <w:tcW w:w="3890" w:type="dxa"/>
          </w:tcPr>
          <w:p>
            <w:pPr>
              <w:rPr>
                <w:rFonts w:hint="default" w:eastAsia="宋体"/>
                <w:vertAlign w:val="baseline"/>
                <w:lang w:val="en-US" w:eastAsia="zh-CN"/>
              </w:rPr>
            </w:pPr>
            <w:r>
              <w:rPr>
                <w:rFonts w:hint="eastAsia"/>
                <w:highlight w:val="yellow"/>
                <w:vertAlign w:val="baseline"/>
                <w:lang w:val="en-US" w:eastAsia="zh-CN"/>
              </w:rPr>
              <w:t>0.015625, 0.03125, 0.0625, 0.125, 0.25, 0.5</w:t>
            </w:r>
          </w:p>
        </w:tc>
      </w:tr>
    </w:tbl>
    <w:p>
      <w:pPr>
        <w:jc w:val="center"/>
        <w:rPr>
          <w:rFonts w:hint="default" w:eastAsia="宋体"/>
          <w:lang w:val="en-US" w:eastAsia="zh-CN"/>
        </w:rPr>
      </w:pPr>
    </w:p>
    <w:p>
      <w:pPr>
        <w:rPr>
          <w:rFonts w:hint="eastAsia"/>
          <w:b w:val="0"/>
          <w:bCs w:val="0"/>
          <w:i w:val="0"/>
          <w:iCs w:val="0"/>
          <w:lang w:val="en-US" w:eastAsia="zh-CN"/>
        </w:rPr>
      </w:pPr>
      <w:r>
        <w:rPr>
          <w:rFonts w:hint="eastAsia" w:eastAsia="宋体"/>
          <w:lang w:val="en-US" w:eastAsia="zh-CN"/>
        </w:rPr>
        <w:t>Considering that the minimum period of SSB is 5ms, it</w:t>
      </w:r>
      <w:r>
        <w:rPr>
          <w:rFonts w:hint="default" w:eastAsia="宋体"/>
          <w:lang w:val="en-US" w:eastAsia="zh-CN"/>
        </w:rPr>
        <w:t>’</w:t>
      </w:r>
      <w:r>
        <w:rPr>
          <w:rFonts w:hint="eastAsia" w:eastAsia="宋体"/>
          <w:lang w:val="en-US" w:eastAsia="zh-CN"/>
        </w:rPr>
        <w:t xml:space="preserve">s necessary that the association period should be larger than SSB period to guarantee in each association period, the allocated SSB subset could be available. For CG period smaller than 1ms, it includes 10 values as highlighted in </w:t>
      </w:r>
      <w:r>
        <w:rPr>
          <w:rFonts w:hint="eastAsia" w:eastAsia="宋体"/>
          <w:b/>
          <w:bCs/>
          <w:lang w:val="en-US" w:eastAsia="zh-CN"/>
        </w:rPr>
        <w:t>Table 3</w:t>
      </w:r>
      <w:r>
        <w:rPr>
          <w:rFonts w:hint="eastAsia" w:eastAsia="宋体"/>
          <w:lang w:val="en-US" w:eastAsia="zh-CN"/>
        </w:rPr>
        <w:t>, so it</w:t>
      </w:r>
      <w:r>
        <w:rPr>
          <w:rFonts w:hint="default" w:eastAsia="宋体"/>
          <w:lang w:val="en-US" w:eastAsia="zh-CN"/>
        </w:rPr>
        <w:t>’</w:t>
      </w:r>
      <w:r>
        <w:rPr>
          <w:rFonts w:hint="eastAsia" w:eastAsia="宋体"/>
          <w:lang w:val="en-US" w:eastAsia="zh-CN"/>
        </w:rPr>
        <w:t xml:space="preserve">s not desirable to list all values smaller than 1ms for CG period, instead, the corresponding candidate values of association period can be defined in ms unit as shown in </w:t>
      </w:r>
      <w:r>
        <w:rPr>
          <w:rFonts w:hint="eastAsia" w:eastAsia="宋体"/>
          <w:b/>
          <w:bCs/>
          <w:lang w:val="en-US" w:eastAsia="zh-CN"/>
        </w:rPr>
        <w:t>Table 4</w:t>
      </w:r>
      <w:r>
        <w:rPr>
          <w:rFonts w:hint="eastAsia" w:eastAsia="宋体"/>
          <w:lang w:val="en-US" w:eastAsia="zh-CN"/>
        </w:rPr>
        <w:t>.</w:t>
      </w:r>
    </w:p>
    <w:p>
      <w:pPr>
        <w:pStyle w:val="75"/>
        <w:rPr>
          <w:bCs/>
        </w:rPr>
      </w:pPr>
      <w:r>
        <w:t xml:space="preserve">Table </w:t>
      </w:r>
      <w:r>
        <w:rPr>
          <w:rFonts w:hint="eastAsia"/>
          <w:lang w:val="en-US" w:eastAsia="zh-CN"/>
        </w:rPr>
        <w:t>4</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Style w:val="25"/>
        <w:tblW w:w="7820" w:type="dxa"/>
        <w:jc w:val="center"/>
        <w:tblLayout w:type="fixed"/>
        <w:tblCellMar>
          <w:top w:w="0" w:type="dxa"/>
          <w:left w:w="0" w:type="dxa"/>
          <w:bottom w:w="0" w:type="dxa"/>
          <w:right w:w="0" w:type="dxa"/>
        </w:tblCellMar>
      </w:tblPr>
      <w:tblGrid>
        <w:gridCol w:w="3325"/>
        <w:gridCol w:w="4495"/>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47"/>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rPr>
                      <w:rFonts w:ascii="Cambria Math" w:hAnsi="Cambria Math" w:eastAsia="Malgun Gothic"/>
                      <w:bCs/>
                      <w:i/>
                      <w:iCs/>
                      <w:sz w:val="20"/>
                    </w:rPr>
                  </m:ctrlPr>
                </m:sSubPr>
                <m:e>
                  <m:r>
                    <m:rPr>
                      <m:sty m:val="bi"/>
                    </m:rPr>
                    <w:rPr>
                      <w:rFonts w:ascii="Cambria Math" w:hAnsi="Cambria Math"/>
                      <w:sz w:val="20"/>
                    </w:rPr>
                    <m:t>T</m:t>
                  </m:r>
                  <m:ctrlPr>
                    <w:rPr>
                      <w:rFonts w:ascii="Cambria Math" w:hAnsi="Cambria Math" w:eastAsia="Malgun Gothic"/>
                      <w:bCs/>
                      <w:i/>
                      <w:iCs/>
                      <w:sz w:val="20"/>
                    </w:rPr>
                  </m:ctrlPr>
                </m:e>
                <m:sub>
                  <m:r>
                    <m:rPr>
                      <m:sty m:val="bi"/>
                    </m:rPr>
                    <w:rPr>
                      <w:rFonts w:ascii="Cambria Math" w:hAnsi="Cambria Math"/>
                      <w:sz w:val="20"/>
                    </w:rPr>
                    <m:t>cg</m:t>
                  </m:r>
                  <m:ctrlPr>
                    <w:rPr>
                      <w:rFonts w:ascii="Cambria Math" w:hAnsi="Cambria Math" w:eastAsia="Malgun Gothic"/>
                      <w:bCs/>
                      <w:i/>
                      <w:iCs/>
                      <w:sz w:val="20"/>
                    </w:rPr>
                  </m:ctrlPr>
                </m:sub>
              </m:sSub>
            </m:oMath>
            <w:r>
              <w:rPr>
                <w:rFonts w:ascii="Times New Roman" w:hAnsi="Times New Roman"/>
                <w:sz w:val="20"/>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47"/>
              <w:rPr>
                <w:rFonts w:ascii="Times New Roman" w:hAnsi="Times New Roman"/>
                <w:sz w:val="20"/>
              </w:rPr>
            </w:pPr>
            <w:r>
              <w:rPr>
                <w:rFonts w:ascii="Times New Roman" w:hAnsi="Times New Roman"/>
                <w:sz w:val="20"/>
              </w:rPr>
              <w:t>Associatio</w:t>
            </w:r>
            <w:r>
              <w:rPr>
                <w:rFonts w:ascii="Times New Roman" w:hAnsi="Times New Roman"/>
                <w:sz w:val="20"/>
                <w:highlight w:val="none"/>
              </w:rPr>
              <w:t xml:space="preserve">n period (number of </w:t>
            </w:r>
            <w:r>
              <w:rPr>
                <w:rFonts w:ascii="Times New Roman" w:hAnsi="Times New Roman"/>
                <w:sz w:val="20"/>
                <w:highlight w:val="none"/>
                <w:lang w:eastAsia="zh-CN"/>
              </w:rPr>
              <w:t xml:space="preserve">PUSCH configuration </w:t>
            </w:r>
            <w:r>
              <w:rPr>
                <w:rFonts w:ascii="Times New Roman" w:hAnsi="Times New Roman"/>
                <w:sz w:val="20"/>
                <w:highlight w:val="none"/>
              </w:rPr>
              <w:t xml:space="preserve">periods </w:t>
            </w:r>
            <w:r>
              <w:rPr>
                <w:rFonts w:ascii="Times New Roman" w:hAnsi="Times New Roman"/>
                <w:strike/>
                <w:dstrike w:val="0"/>
                <w:color w:val="FF0000"/>
                <w:sz w:val="20"/>
                <w:highlight w:val="none"/>
              </w:rPr>
              <w:t xml:space="preserve">except </w:t>
            </w:r>
            <w:r>
              <w:rPr>
                <w:rFonts w:ascii="Times New Roman" w:hAnsi="Times New Roman"/>
                <w:sz w:val="20"/>
                <w:highlight w:val="none"/>
              </w:rPr>
              <w:t xml:space="preserve">when </w:t>
            </w:r>
            <w:r>
              <w:rPr>
                <w:rFonts w:ascii="Times New Roman" w:hAnsi="Times New Roman"/>
                <w:sz w:val="20"/>
                <w:highlight w:val="none"/>
                <w:lang w:eastAsia="zh-CN"/>
              </w:rPr>
              <w:t xml:space="preserve">PUSCH configuration </w:t>
            </w:r>
            <w:r>
              <w:rPr>
                <w:rFonts w:ascii="Times New Roman" w:hAnsi="Times New Roman"/>
                <w:sz w:val="20"/>
                <w:highlight w:val="none"/>
              </w:rPr>
              <w:t xml:space="preserve">period is </w:t>
            </w:r>
            <w:r>
              <w:rPr>
                <w:rFonts w:ascii="Times New Roman" w:hAnsi="Times New Roman"/>
                <w:strike/>
                <w:dstrike w:val="0"/>
                <w:color w:val="FF0000"/>
                <w:sz w:val="20"/>
                <w:highlight w:val="none"/>
              </w:rPr>
              <w:t>less than 5</w:t>
            </w:r>
            <w:r>
              <w:rPr>
                <w:rFonts w:hint="eastAsia" w:ascii="Times New Roman" w:hAnsi="Times New Roman"/>
                <w:sz w:val="20"/>
                <w:highlight w:val="none"/>
                <w:lang w:val="en-US" w:eastAsia="zh-CN"/>
              </w:rPr>
              <w:t xml:space="preserve"> larger than 1</w:t>
            </w:r>
            <w:r>
              <w:rPr>
                <w:rFonts w:ascii="Times New Roman" w:hAnsi="Times New Roman"/>
                <w:sz w:val="20"/>
                <w:highlight w:val="none"/>
              </w:rPr>
              <w:t xml:space="preserve"> ms</w:t>
            </w:r>
            <w:r>
              <w:rPr>
                <w:rFonts w:ascii="Times New Roman" w:hAnsi="Times New Roman"/>
                <w:sz w:val="20"/>
                <w:highlight w:val="none"/>
                <w:lang w:eastAsia="zh-CN"/>
              </w:rPr>
              <w:t>ec</w:t>
            </w:r>
            <w:r>
              <w:rPr>
                <w:rFonts w:ascii="Times New Roman" w:hAnsi="Times New Roman"/>
                <w:sz w:val="20"/>
                <w:highlight w:val="none"/>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hint="eastAsia" w:ascii="Times New Roman" w:hAnsi="Times New Roman"/>
                <w:color w:val="FF0000"/>
                <w:sz w:val="20"/>
                <w:lang w:val="en-US" w:eastAsia="zh-CN"/>
              </w:rPr>
              <w:t>≦1</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hint="eastAsia" w:ascii="Times New Roman" w:hAnsi="Times New Roman"/>
                <w:color w:val="FF0000"/>
                <w:sz w:val="20"/>
                <w:lang w:val="en-US" w:eastAsia="zh-CN"/>
              </w:rPr>
              <w:t xml:space="preserve">{5, 8, 10, 16, 20, 32, 40, 64, 80, 128, 160, 320, 640}ms </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hint="eastAsia" w:ascii="Times New Roman" w:hAnsi="Times New Roman"/>
                <w:color w:val="FF0000"/>
                <w:sz w:val="20"/>
                <w:lang w:val="en-US" w:eastAsia="zh-CN"/>
              </w:rPr>
              <w:t>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ascii="Times New Roman" w:hAnsi="Times New Roman"/>
                <w:color w:val="FF0000"/>
                <w:sz w:val="20"/>
              </w:rPr>
              <w:t>{</w:t>
            </w:r>
            <w:r>
              <w:rPr>
                <w:rFonts w:hint="eastAsia" w:ascii="Times New Roman" w:hAnsi="Times New Roman"/>
                <w:color w:val="FF0000"/>
                <w:sz w:val="20"/>
                <w:lang w:val="en-US" w:eastAsia="zh-CN"/>
              </w:rPr>
              <w:t>4</w:t>
            </w:r>
            <w:r>
              <w:rPr>
                <w:rFonts w:ascii="Times New Roman" w:hAnsi="Times New Roman"/>
                <w:color w:val="FF0000"/>
                <w:sz w:val="20"/>
              </w:rPr>
              <w:t xml:space="preserve">, </w:t>
            </w:r>
            <w:r>
              <w:rPr>
                <w:rFonts w:hint="eastAsia" w:ascii="Times New Roman" w:hAnsi="Times New Roman"/>
                <w:color w:val="FF0000"/>
                <w:sz w:val="20"/>
                <w:lang w:val="en-US" w:eastAsia="zh-CN"/>
              </w:rPr>
              <w:t>5</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 xml:space="preserve">, </w:t>
            </w:r>
            <w:r>
              <w:rPr>
                <w:rFonts w:hint="eastAsia" w:ascii="Times New Roman" w:hAnsi="Times New Roman"/>
                <w:color w:val="FF0000"/>
                <w:sz w:val="20"/>
                <w:lang w:val="en-US" w:eastAsia="zh-CN"/>
              </w:rPr>
              <w:t>10</w:t>
            </w:r>
            <w:r>
              <w:rPr>
                <w:rFonts w:ascii="Times New Roman" w:hAnsi="Times New Roman"/>
                <w:color w:val="FF0000"/>
                <w:sz w:val="20"/>
              </w:rPr>
              <w:t xml:space="preserve">, </w:t>
            </w:r>
            <w:r>
              <w:rPr>
                <w:rFonts w:hint="eastAsia" w:ascii="Times New Roman" w:hAnsi="Times New Roman"/>
                <w:color w:val="FF0000"/>
                <w:sz w:val="20"/>
                <w:lang w:val="en-US" w:eastAsia="zh-CN"/>
              </w:rPr>
              <w:t>16</w:t>
            </w:r>
            <w:r>
              <w:rPr>
                <w:rFonts w:ascii="Times New Roman" w:hAnsi="Times New Roman"/>
                <w:color w:val="FF0000"/>
                <w:sz w:val="20"/>
              </w:rPr>
              <w:t xml:space="preserve">, </w:t>
            </w:r>
            <w:r>
              <w:rPr>
                <w:rFonts w:hint="eastAsia" w:ascii="Times New Roman" w:hAnsi="Times New Roman"/>
                <w:color w:val="FF0000"/>
                <w:sz w:val="20"/>
                <w:lang w:val="en-US" w:eastAsia="zh-CN"/>
              </w:rPr>
              <w:t>20</w:t>
            </w:r>
            <w:r>
              <w:rPr>
                <w:rFonts w:ascii="Times New Roman" w:hAnsi="Times New Roman"/>
                <w:color w:val="FF0000"/>
                <w:sz w:val="20"/>
              </w:rPr>
              <w:t xml:space="preserve">, </w:t>
            </w:r>
            <w:r>
              <w:rPr>
                <w:rFonts w:hint="eastAsia" w:ascii="Times New Roman" w:hAnsi="Times New Roman"/>
                <w:color w:val="FF0000"/>
                <w:sz w:val="20"/>
                <w:lang w:val="en-US" w:eastAsia="zh-CN"/>
              </w:rPr>
              <w:t>40</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0</w:t>
            </w:r>
            <w:r>
              <w:rPr>
                <w:rFonts w:hint="eastAsia" w:ascii="Times New Roman" w:hAnsi="Times New Roman"/>
                <w:color w:val="FF0000"/>
                <w:sz w:val="20"/>
                <w:lang w:val="en-US" w:eastAsia="zh-CN"/>
              </w:rPr>
              <w:t>, 160, 320</w:t>
            </w:r>
            <w:r>
              <w:rPr>
                <w:rFonts w:ascii="Times New Roman" w:hAnsi="Times New Roman"/>
                <w:color w:val="FF0000"/>
                <w:sz w:val="20"/>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hint="eastAsia" w:ascii="Times New Roman" w:hAnsi="Times New Roman"/>
                <w:color w:val="FF0000"/>
                <w:sz w:val="20"/>
                <w:lang w:val="en-US" w:eastAsia="zh-CN"/>
              </w:rPr>
              <w:t>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ascii="Times New Roman" w:hAnsi="Times New Roman"/>
                <w:color w:val="FF0000"/>
                <w:sz w:val="20"/>
              </w:rPr>
              <w:t>{</w:t>
            </w:r>
            <w:r>
              <w:rPr>
                <w:rFonts w:hint="eastAsia" w:ascii="Times New Roman" w:hAnsi="Times New Roman"/>
                <w:color w:val="FF0000"/>
                <w:sz w:val="20"/>
                <w:lang w:val="en-US" w:eastAsia="zh-CN"/>
              </w:rPr>
              <w:t>2, 4</w:t>
            </w:r>
            <w:r>
              <w:rPr>
                <w:rFonts w:ascii="Times New Roman" w:hAnsi="Times New Roman"/>
                <w:color w:val="FF0000"/>
                <w:sz w:val="20"/>
              </w:rPr>
              <w:t xml:space="preserve">, </w:t>
            </w:r>
            <w:r>
              <w:rPr>
                <w:rFonts w:hint="eastAsia" w:ascii="Times New Roman" w:hAnsi="Times New Roman"/>
                <w:color w:val="FF0000"/>
                <w:sz w:val="20"/>
                <w:lang w:val="en-US" w:eastAsia="zh-CN"/>
              </w:rPr>
              <w:t>5</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 xml:space="preserve">, </w:t>
            </w:r>
            <w:r>
              <w:rPr>
                <w:rFonts w:hint="eastAsia" w:ascii="Times New Roman" w:hAnsi="Times New Roman"/>
                <w:color w:val="FF0000"/>
                <w:sz w:val="20"/>
                <w:lang w:val="en-US" w:eastAsia="zh-CN"/>
              </w:rPr>
              <w:t>10</w:t>
            </w:r>
            <w:r>
              <w:rPr>
                <w:rFonts w:ascii="Times New Roman" w:hAnsi="Times New Roman"/>
                <w:color w:val="FF0000"/>
                <w:sz w:val="20"/>
              </w:rPr>
              <w:t xml:space="preserve">, </w:t>
            </w:r>
            <w:r>
              <w:rPr>
                <w:rFonts w:hint="eastAsia" w:ascii="Times New Roman" w:hAnsi="Times New Roman"/>
                <w:color w:val="FF0000"/>
                <w:sz w:val="20"/>
                <w:lang w:val="en-US" w:eastAsia="zh-CN"/>
              </w:rPr>
              <w:t>16</w:t>
            </w:r>
            <w:r>
              <w:rPr>
                <w:rFonts w:ascii="Times New Roman" w:hAnsi="Times New Roman"/>
                <w:color w:val="FF0000"/>
                <w:sz w:val="20"/>
              </w:rPr>
              <w:t xml:space="preserve">, </w:t>
            </w:r>
            <w:r>
              <w:rPr>
                <w:rFonts w:hint="eastAsia" w:ascii="Times New Roman" w:hAnsi="Times New Roman"/>
                <w:color w:val="FF0000"/>
                <w:sz w:val="20"/>
                <w:lang w:val="en-US" w:eastAsia="zh-CN"/>
              </w:rPr>
              <w:t>20</w:t>
            </w:r>
            <w:r>
              <w:rPr>
                <w:rFonts w:ascii="Times New Roman" w:hAnsi="Times New Roman"/>
                <w:color w:val="FF0000"/>
                <w:sz w:val="20"/>
              </w:rPr>
              <w:t xml:space="preserve">, </w:t>
            </w:r>
            <w:r>
              <w:rPr>
                <w:rFonts w:hint="eastAsia" w:ascii="Times New Roman" w:hAnsi="Times New Roman"/>
                <w:color w:val="FF0000"/>
                <w:sz w:val="20"/>
                <w:lang w:val="en-US" w:eastAsia="zh-CN"/>
              </w:rPr>
              <w:t>40</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0</w:t>
            </w:r>
            <w:r>
              <w:rPr>
                <w:rFonts w:hint="eastAsia" w:ascii="Times New Roman" w:hAnsi="Times New Roman"/>
                <w:color w:val="FF0000"/>
                <w:sz w:val="20"/>
                <w:lang w:val="en-US" w:eastAsia="zh-CN"/>
              </w:rPr>
              <w:t>, 160</w:t>
            </w:r>
            <w:r>
              <w:rPr>
                <w:rFonts w:ascii="Times New Roman" w:hAnsi="Times New Roman"/>
                <w:color w:val="FF0000"/>
                <w:sz w:val="20"/>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8,16, 32, 64, 128}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8,16, 32, 64}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5, 8,10,20,40}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w:t>
            </w:r>
            <w:r>
              <w:rPr>
                <w:rFonts w:ascii="Times New Roman" w:hAnsi="Times New Roman"/>
                <w:sz w:val="20"/>
                <w:lang w:eastAsia="zh-CN"/>
              </w:rPr>
              <w:t xml:space="preserve"> </w:t>
            </w:r>
            <w:r>
              <w:rPr>
                <w:rFonts w:ascii="Times New Roman" w:hAnsi="Times New Roman"/>
                <w:sz w:val="20"/>
              </w:rPr>
              <w:t>}</w:t>
            </w:r>
          </w:p>
        </w:tc>
      </w:tr>
    </w:tbl>
    <w:p>
      <w:pPr>
        <w:rPr>
          <w:rFonts w:hint="eastAsia" w:eastAsia="宋体"/>
          <w:lang w:val="en-US" w:eastAsia="zh-CN"/>
        </w:rPr>
      </w:pPr>
      <w:r>
        <w:rPr>
          <w:rFonts w:hint="eastAsia" w:eastAsia="宋体"/>
          <w:lang w:val="en-US" w:eastAsia="zh-CN"/>
        </w:rPr>
        <w:t>Indeed the simplest way is to preclude all CG period values less than 5ms, however, these values are still useful, because smaller CG period value would allow UE to finish the data transmission more quickly in one SDT procedure, it doesn</w:t>
      </w:r>
      <w:r>
        <w:rPr>
          <w:rFonts w:hint="default" w:eastAsia="宋体"/>
          <w:lang w:val="en-US" w:eastAsia="zh-CN"/>
        </w:rPr>
        <w:t>’</w:t>
      </w:r>
      <w:r>
        <w:rPr>
          <w:rFonts w:hint="eastAsia" w:eastAsia="宋体"/>
          <w:lang w:val="en-US" w:eastAsia="zh-CN"/>
        </w:rPr>
        <w:t xml:space="preserve">t contradict with the principle of small data transmission(infrequent and small). As shown in Figure 1, the value of CG period only affects Time interval 2 between initial CG transmission and subsequent transmission in one SDT procedure, thus smaller CG period value leads to smaller total time duration of a SDT procedure.  However, </w:t>
      </w:r>
      <w:r>
        <w:rPr>
          <w:rFonts w:hint="default" w:eastAsia="宋体"/>
          <w:lang w:val="en-US" w:eastAsia="zh-CN"/>
        </w:rPr>
        <w:t>“</w:t>
      </w:r>
      <w:r>
        <w:rPr>
          <w:rFonts w:hint="eastAsia" w:eastAsia="宋体"/>
          <w:lang w:val="en-US" w:eastAsia="zh-CN"/>
        </w:rPr>
        <w:t>infrequent transmission</w:t>
      </w:r>
      <w:r>
        <w:rPr>
          <w:rFonts w:hint="default" w:eastAsia="宋体"/>
          <w:lang w:val="en-US" w:eastAsia="zh-CN"/>
        </w:rPr>
        <w:t>”</w:t>
      </w:r>
      <w:r>
        <w:rPr>
          <w:rFonts w:hint="eastAsia" w:eastAsia="宋体"/>
          <w:lang w:val="en-US" w:eastAsia="zh-CN"/>
        </w:rPr>
        <w:t xml:space="preserve"> in WID means the Time interval 1 between 2 different SDT procedures might be large, which is not related to the value of CG period, so there is no clear motivation to preclude such small CG period values. </w:t>
      </w:r>
    </w:p>
    <w:p>
      <w:r>
        <w:drawing>
          <wp:inline distT="0" distB="0" distL="114300" distR="114300">
            <wp:extent cx="5580380" cy="1943100"/>
            <wp:effectExtent l="0" t="0" r="1270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580380" cy="1943100"/>
                    </a:xfrm>
                    <a:prstGeom prst="rect">
                      <a:avLst/>
                    </a:prstGeom>
                    <a:noFill/>
                    <a:ln>
                      <a:noFill/>
                    </a:ln>
                  </pic:spPr>
                </pic:pic>
              </a:graphicData>
            </a:graphic>
          </wp:inline>
        </w:drawing>
      </w:r>
    </w:p>
    <w:p>
      <w:pPr>
        <w:jc w:val="center"/>
        <w:rPr>
          <w:rFonts w:hint="eastAsia" w:eastAsia="宋体"/>
          <w:lang w:val="en-US" w:eastAsia="zh-CN"/>
        </w:rPr>
      </w:pPr>
      <w:r>
        <w:rPr>
          <w:rFonts w:hint="eastAsia" w:eastAsia="宋体"/>
          <w:lang w:val="en-US" w:eastAsia="zh-CN"/>
        </w:rPr>
        <w:t>Figure 1 Illustration of SDT procedure</w:t>
      </w:r>
    </w:p>
    <w:p>
      <w:pPr>
        <w:jc w:val="both"/>
        <w:rPr>
          <w:rFonts w:hint="default"/>
          <w:b/>
          <w:bCs/>
          <w:i/>
          <w:iCs/>
          <w:lang w:val="en-US" w:eastAsia="zh-CN"/>
        </w:rPr>
      </w:pPr>
      <w:r>
        <w:rPr>
          <w:rFonts w:hint="eastAsia"/>
          <w:b/>
          <w:bCs/>
          <w:i/>
          <w:iCs/>
          <w:lang w:val="en-US" w:eastAsia="zh-CN"/>
        </w:rPr>
        <w:t>Proposal 1: Adopt TP#1 in Clause 19.1 for TS 38.213.</w:t>
      </w:r>
    </w:p>
    <w:p>
      <w:pPr>
        <w:numPr>
          <w:ilvl w:val="-1"/>
          <w:numId w:val="0"/>
        </w:numPr>
        <w:ind w:left="0" w:firstLine="0"/>
        <w:jc w:val="both"/>
        <w:rPr>
          <w:rFonts w:hint="default"/>
          <w:lang w:val="en-US" w:eastAsia="zh-CN"/>
        </w:rPr>
      </w:pPr>
    </w:p>
    <w:p>
      <w:pPr>
        <w:pStyle w:val="3"/>
        <w:keepNext/>
        <w:keepLines/>
        <w:pageBreakBefore w:val="0"/>
        <w:widowControl/>
        <w:kinsoku/>
        <w:wordWrap/>
        <w:overflowPunct/>
        <w:topLinePunct w:val="0"/>
        <w:autoSpaceDE/>
        <w:autoSpaceDN/>
        <w:bidi w:val="0"/>
        <w:adjustRightInd/>
        <w:snapToGrid/>
        <w:spacing w:after="240" w:line="260" w:lineRule="auto"/>
        <w:textAlignment w:val="auto"/>
        <w:rPr>
          <w:rFonts w:hint="default"/>
          <w:lang w:val="en-US" w:eastAsia="zh-CN"/>
        </w:rPr>
      </w:pPr>
      <w:r>
        <w:rPr>
          <w:rFonts w:hint="eastAsia"/>
          <w:lang w:val="en-US" w:eastAsia="zh-CN"/>
        </w:rPr>
        <w:t xml:space="preserve"> RedCap UE supporting SDT</w:t>
      </w:r>
    </w:p>
    <w:p>
      <w:pPr>
        <w:jc w:val="both"/>
        <w:rPr>
          <w:rFonts w:hint="eastAsia" w:cs="Times"/>
          <w:szCs w:val="20"/>
          <w:lang w:val="en-US" w:eastAsia="zh-CN"/>
        </w:rPr>
      </w:pPr>
      <w:r>
        <w:rPr>
          <w:rFonts w:hint="eastAsia"/>
          <w:i w:val="0"/>
          <w:iCs/>
          <w:lang w:val="en-US" w:eastAsia="zh-CN"/>
        </w:rPr>
        <w:t xml:space="preserve">In RAN1 #108, RAN1 has confirmed that </w:t>
      </w:r>
      <w:r>
        <w:rPr>
          <w:rFonts w:cs="Times"/>
          <w:szCs w:val="20"/>
        </w:rPr>
        <w:t>the separate BWP in case of RedCap may still be considered as the initial BWP and SDT resources(both CG-SDT and RA-SDT) can hence be configured on this BWP for RedCap UEs.</w:t>
      </w:r>
      <w:r>
        <w:rPr>
          <w:rFonts w:hint="eastAsia" w:cs="Times"/>
          <w:szCs w:val="20"/>
          <w:lang w:val="en-US" w:eastAsia="zh-CN"/>
        </w:rPr>
        <w:t xml:space="preserve"> Some details needs to be further studied to ensure proper functionality for RedCap UE performing SDT. </w:t>
      </w:r>
    </w:p>
    <w:p>
      <w:pPr>
        <w:jc w:val="both"/>
        <w:rPr>
          <w:rFonts w:hint="default" w:cs="Times"/>
          <w:szCs w:val="20"/>
          <w:lang w:val="en-US" w:eastAsia="zh-CN"/>
        </w:rPr>
      </w:pPr>
      <w:r>
        <w:rPr>
          <w:rFonts w:hint="eastAsia" w:cs="Times"/>
          <w:szCs w:val="20"/>
          <w:lang w:val="en-US" w:eastAsia="zh-CN"/>
        </w:rPr>
        <w:t>In RedCap WI, for RedCap UE in idle/inactive state, two kinds of separate initial DL BWP may be configured. One is that separate initial DL BWP can include CORESET#0 and CD-SSB. The other is that separate initial DL BWP only includes CSS for RA, but does not include SSB, paging and SI reception. Then when the first kind of separate initial DL BWP is configured, CD-SSB can be used for mapping and TA validation. But for the second kind of separate initial DL BWP, since there is no SSB, CD-SSB in legacy initial BWP may be used for mapping and TA validation similar to RACH procedure in idle/inactive state.</w:t>
      </w:r>
    </w:p>
    <w:p>
      <w:pPr>
        <w:jc w:val="both"/>
        <w:rPr>
          <w:rFonts w:hint="default"/>
          <w:b/>
          <w:bCs/>
          <w:i/>
          <w:iCs/>
          <w:lang w:val="en-US" w:eastAsia="zh-CN"/>
        </w:rPr>
      </w:pPr>
      <w:r>
        <w:rPr>
          <w:rFonts w:hint="eastAsia"/>
          <w:b/>
          <w:bCs/>
          <w:i/>
          <w:iCs/>
          <w:lang w:val="en-US" w:eastAsia="zh-CN"/>
        </w:rPr>
        <w:t>Proposal 2: For RedCap UE performing SDT, CD-SSB can be used for SSB to CG PUSCH mapping and TA validation.</w:t>
      </w:r>
    </w:p>
    <w:p>
      <w:pPr>
        <w:jc w:val="both"/>
        <w:rPr>
          <w:rFonts w:hint="default"/>
          <w:lang w:val="en-US" w:eastAsia="zh-CN"/>
        </w:rPr>
      </w:pPr>
      <w:r>
        <w:rPr>
          <w:rFonts w:hint="eastAsia"/>
          <w:lang w:val="en-US" w:eastAsia="zh-CN"/>
        </w:rPr>
        <w:t xml:space="preserve">For Proposal 2, since CD-SSB is the only kind of SSBs that supported in RRC inactive state for RedCap UE no matter in separate initial BWP or initial BWP, there is no ambiguity even without any spec changes. However, for separate initial BWP not including SSBs, the behavior of RedCap UE performing SDT is different from legacy UE. So TP #2 can be adopted to specify which SSBs will be used for mapping if no SSBs are configured in separate initial BWP. </w:t>
      </w:r>
    </w:p>
    <w:p>
      <w:pPr>
        <w:jc w:val="both"/>
        <w:rPr>
          <w:rFonts w:hint="eastAsia"/>
          <w:b/>
          <w:bCs/>
          <w:i/>
          <w:iCs/>
          <w:lang w:val="en-US" w:eastAsia="zh-CN"/>
        </w:rPr>
      </w:pPr>
      <w:r>
        <w:rPr>
          <w:rFonts w:hint="eastAsia"/>
          <w:b/>
          <w:bCs/>
          <w:i/>
          <w:iCs/>
          <w:lang w:val="en-US" w:eastAsia="zh-CN"/>
        </w:rPr>
        <w:t xml:space="preserve">Proposal 3: For RedCap UE performing SDT, if separate initial DL BWP does not include any SSBs, the SSBs associated with initial DL BWP can be used for SSB to CG PUSCH mapping.  </w:t>
      </w:r>
    </w:p>
    <w:p>
      <w:pPr>
        <w:numPr>
          <w:ilvl w:val="0"/>
          <w:numId w:val="10"/>
        </w:numPr>
        <w:ind w:left="720" w:hanging="360"/>
        <w:jc w:val="both"/>
        <w:rPr>
          <w:rFonts w:hint="default"/>
          <w:lang w:val="en-US" w:eastAsia="zh-CN"/>
        </w:rPr>
      </w:pPr>
      <w:r>
        <w:rPr>
          <w:rFonts w:hint="eastAsia"/>
          <w:b/>
          <w:bCs/>
          <w:i/>
          <w:iCs/>
          <w:lang w:val="en-US" w:eastAsia="zh-CN"/>
        </w:rPr>
        <w:t>Adopt TP#2 in Clause 19.1 for TS 38.213.</w:t>
      </w:r>
    </w:p>
    <w:p>
      <w:pPr>
        <w:pStyle w:val="3"/>
        <w:keepNext/>
        <w:keepLines/>
        <w:pageBreakBefore w:val="0"/>
        <w:widowControl/>
        <w:kinsoku/>
        <w:wordWrap/>
        <w:overflowPunct/>
        <w:topLinePunct w:val="0"/>
        <w:autoSpaceDE/>
        <w:autoSpaceDN/>
        <w:bidi w:val="0"/>
        <w:adjustRightInd/>
        <w:snapToGrid/>
        <w:spacing w:after="240" w:line="260" w:lineRule="auto"/>
        <w:textAlignment w:val="auto"/>
        <w:rPr>
          <w:rFonts w:hint="default"/>
          <w:lang w:val="en-US" w:eastAsia="zh-CN"/>
        </w:rPr>
      </w:pPr>
      <w:r>
        <w:rPr>
          <w:rFonts w:hint="eastAsia"/>
          <w:lang w:val="en-US" w:eastAsia="zh-CN"/>
        </w:rPr>
        <w:t xml:space="preserve"> PRACH configuration of RA-SDT</w:t>
      </w:r>
    </w:p>
    <w:p>
      <w:pPr>
        <w:pStyle w:val="36"/>
        <w:rPr>
          <w:rFonts w:hint="eastAsia" w:ascii="Times New Roman" w:hAnsi="Times New Roman" w:cs="Times New Roman"/>
          <w:sz w:val="20"/>
          <w:szCs w:val="20"/>
          <w:highlight w:val="none"/>
          <w:lang w:val="en-US" w:eastAsia="zh-CN"/>
        </w:rPr>
      </w:pPr>
      <w:r>
        <w:rPr>
          <w:rFonts w:hint="default" w:ascii="Times New Roman" w:hAnsi="Times New Roman" w:cs="Times New Roman"/>
          <w:sz w:val="20"/>
          <w:szCs w:val="20"/>
          <w:lang w:val="en-US" w:eastAsia="zh-CN"/>
        </w:rPr>
        <w:t>In the section 19.2 of TS 38.213, the corresponding descripti</w:t>
      </w:r>
      <w:r>
        <w:rPr>
          <w:rFonts w:hint="default" w:ascii="Times New Roman" w:hAnsi="Times New Roman" w:cs="Times New Roman"/>
          <w:sz w:val="20"/>
          <w:szCs w:val="20"/>
          <w:highlight w:val="none"/>
          <w:lang w:val="en-US" w:eastAsia="zh-CN"/>
        </w:rPr>
        <w:t xml:space="preserve">on </w:t>
      </w:r>
      <w:r>
        <w:rPr>
          <w:rFonts w:hint="eastAsia" w:ascii="Times New Roman" w:hAnsi="Times New Roman" w:cs="Times New Roman"/>
          <w:sz w:val="20"/>
          <w:szCs w:val="20"/>
          <w:highlight w:val="none"/>
          <w:lang w:val="en-US" w:eastAsia="zh-CN"/>
        </w:rPr>
        <w:t xml:space="preserve">of </w:t>
      </w:r>
      <w:r>
        <w:rPr>
          <w:rFonts w:hint="default" w:ascii="Times New Roman" w:hAnsi="Times New Roman" w:cs="Times New Roman"/>
          <w:i/>
          <w:iCs w:val="0"/>
          <w:sz w:val="20"/>
          <w:szCs w:val="20"/>
          <w:highlight w:val="none"/>
        </w:rPr>
        <w:t>sdt-CB-PreamblesPerSSB-PerSharedRO</w:t>
      </w:r>
      <w:r>
        <w:rPr>
          <w:rFonts w:hint="eastAsia" w:ascii="Times New Roman" w:hAnsi="Times New Roman" w:cs="Times New Roman"/>
          <w:i/>
          <w:iCs w:val="0"/>
          <w:sz w:val="20"/>
          <w:szCs w:val="20"/>
          <w:highlight w:val="none"/>
          <w:lang w:val="en-US" w:eastAsia="zh-CN"/>
        </w:rPr>
        <w:t>/</w:t>
      </w:r>
      <w:r>
        <w:rPr>
          <w:rFonts w:hint="default" w:ascii="Times New Roman" w:hAnsi="Times New Roman" w:cs="Times New Roman"/>
          <w:i/>
          <w:iCs w:val="0"/>
          <w:sz w:val="20"/>
          <w:szCs w:val="20"/>
          <w:highlight w:val="none"/>
        </w:rPr>
        <w:t>sdt-msgA-CB-PreamblesPerSSB-PerSharedRO</w:t>
      </w:r>
      <w:r>
        <w:rPr>
          <w:rFonts w:hint="default" w:ascii="Times New Roman" w:hAnsi="Times New Roman" w:cs="Times New Roman"/>
          <w:sz w:val="20"/>
          <w:szCs w:val="20"/>
          <w:highlight w:val="none"/>
          <w:lang w:val="en-US" w:eastAsia="zh-CN"/>
        </w:rPr>
        <w:t xml:space="preserve"> is </w:t>
      </w:r>
      <w:r>
        <w:rPr>
          <w:rFonts w:hint="eastAsia" w:ascii="Times New Roman" w:hAnsi="Times New Roman" w:cs="Times New Roman"/>
          <w:sz w:val="20"/>
          <w:szCs w:val="20"/>
          <w:highlight w:val="none"/>
          <w:lang w:val="en-US" w:eastAsia="zh-CN"/>
        </w:rPr>
        <w:t xml:space="preserve">shown </w:t>
      </w:r>
      <w:r>
        <w:rPr>
          <w:rFonts w:hint="default" w:ascii="Times New Roman" w:hAnsi="Times New Roman" w:cs="Times New Roman"/>
          <w:sz w:val="20"/>
          <w:szCs w:val="20"/>
          <w:highlight w:val="none"/>
          <w:lang w:val="en-US" w:eastAsia="zh-CN"/>
        </w:rPr>
        <w:t>as be</w:t>
      </w:r>
      <w:r>
        <w:rPr>
          <w:rFonts w:hint="eastAsia" w:ascii="Times New Roman" w:hAnsi="Times New Roman" w:cs="Times New Roman"/>
          <w:sz w:val="20"/>
          <w:szCs w:val="20"/>
          <w:highlight w:val="none"/>
          <w:lang w:val="en-US" w:eastAsia="zh-CN"/>
        </w:rPr>
        <w:t xml:space="preserve">low. However, this parameter is used to configure a number of preambles per SSB per shared RO, not a number of SSB indexes. </w:t>
      </w:r>
    </w:p>
    <w:tbl>
      <w:tblPr>
        <w:tblStyle w:val="2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spacing w:line="240" w:lineRule="auto"/>
              <w:jc w:val="left"/>
              <w:rPr>
                <w:b/>
                <w:bCs/>
                <w:lang w:eastAsia="zh-CN"/>
              </w:rPr>
            </w:pPr>
            <w:r>
              <w:rPr>
                <w:i/>
                <w:iCs w:val="0"/>
              </w:rPr>
              <w:t xml:space="preserve">For a common configuration of PRACH occasions and a Type-1 or a Type-2 random access procedure, a UE can be provided </w:t>
            </w:r>
            <w:r>
              <w:rPr>
                <w:i/>
                <w:iCs w:val="0"/>
                <w:highlight w:val="yellow"/>
              </w:rPr>
              <w:t>a number of SS/PBCH block indexes associated with one PRACH occasion by sdt-CB-PreamblesPerSSB-PerSharedRO or sdt-msgA-CB-PreamblesPerSSB-PerSharedRO</w:t>
            </w:r>
            <w:r>
              <w:rPr>
                <w:i/>
                <w:iCs w:val="0"/>
                <w:highlight w:val="none"/>
                <w:lang w:val="en-US"/>
              </w:rPr>
              <w:t>,</w:t>
            </w:r>
            <w:r>
              <w:rPr>
                <w:i/>
                <w:iCs w:val="0"/>
                <w:lang w:val="en-US"/>
              </w:rPr>
              <w:t xml:space="preserve"> respectively. </w:t>
            </w:r>
            <w:r>
              <w:rPr>
                <w:i/>
                <w:iCs w:val="0"/>
                <w:shd w:val="clear" w:color="auto" w:fill="FFFFFF"/>
              </w:rPr>
              <w:t xml:space="preserve">A PRACH transmission can be on a subset of PRACH occasions associated with a same SS/PBCH block index </w:t>
            </w:r>
            <w:r>
              <w:rPr>
                <w:rFonts w:hint="eastAsia"/>
                <w:i/>
                <w:iCs w:val="0"/>
                <w:shd w:val="clear" w:color="auto" w:fill="FFFFFF"/>
                <w:lang w:eastAsia="zh-CN"/>
              </w:rPr>
              <w:t>within a</w:t>
            </w:r>
            <w:r>
              <w:rPr>
                <w:i/>
                <w:iCs w:val="0"/>
                <w:shd w:val="clear" w:color="auto" w:fill="FFFFFF"/>
                <w:lang w:eastAsia="zh-CN"/>
              </w:rPr>
              <w:t>n</w:t>
            </w:r>
            <w:r>
              <w:rPr>
                <w:rFonts w:hint="eastAsia"/>
                <w:i/>
                <w:iCs w:val="0"/>
                <w:shd w:val="clear" w:color="auto" w:fill="FFFFFF"/>
                <w:lang w:eastAsia="zh-CN"/>
              </w:rPr>
              <w:t xml:space="preserve"> SSB-RO mapping cycle</w:t>
            </w:r>
            <w:r>
              <w:rPr>
                <w:i/>
                <w:iCs w:val="0"/>
                <w:shd w:val="clear" w:color="auto" w:fill="FFFFFF"/>
              </w:rPr>
              <w:t xml:space="preserve"> as determined by a PRACH mask index provided by sdt-SSB-SharedRO-MaskIndex</w:t>
            </w:r>
            <w:r>
              <w:rPr>
                <w:rStyle w:val="83"/>
                <w:i/>
                <w:iCs w:val="0"/>
                <w:shd w:val="clear" w:color="auto" w:fill="FFFFFF"/>
              </w:rPr>
              <w:t xml:space="preserve"> or </w:t>
            </w:r>
            <w:r>
              <w:rPr>
                <w:i/>
                <w:iCs w:val="0"/>
                <w:shd w:val="clear" w:color="auto" w:fill="FFFFFF"/>
              </w:rPr>
              <w:t>sdt-msgA-SSB-SharedRO-MaskIndex according to [11, TS 38.321]</w:t>
            </w:r>
            <w:r>
              <w:rPr>
                <w:i/>
                <w:iCs w:val="0"/>
              </w:rPr>
              <w:t xml:space="preserve">. </w:t>
            </w:r>
          </w:p>
        </w:tc>
      </w:tr>
    </w:tbl>
    <w:p>
      <w:pPr>
        <w:pStyle w:val="36"/>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The paragraph in section 19.2 mainly refers to 2-step RACH specified in section 8.1 as shown below, it</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s clear that the definition of </w:t>
      </w:r>
      <w:r>
        <w:rPr>
          <w:rFonts w:hint="eastAsia" w:ascii="Times New Roman" w:hAnsi="Times New Roman" w:cs="Times New Roman"/>
          <w:i/>
          <w:iCs/>
          <w:sz w:val="20"/>
          <w:szCs w:val="20"/>
          <w:highlight w:val="none"/>
          <w:lang w:val="en-US" w:eastAsia="zh-CN"/>
        </w:rPr>
        <w:t>msgA-CB-PreamblesPerSSB-PerSharedRO</w:t>
      </w:r>
      <w:r>
        <w:rPr>
          <w:rFonts w:hint="eastAsia" w:ascii="Times New Roman" w:hAnsi="Times New Roman" w:cs="Times New Roman"/>
          <w:sz w:val="20"/>
          <w:szCs w:val="20"/>
          <w:highlight w:val="none"/>
          <w:lang w:val="en-US" w:eastAsia="zh-CN"/>
        </w:rPr>
        <w:t xml:space="preserve"> should be number of preambles instead of number of SSBs.</w:t>
      </w:r>
    </w:p>
    <w:tbl>
      <w:tblPr>
        <w:tblStyle w:val="2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spacing w:line="240" w:lineRule="auto"/>
              <w:jc w:val="left"/>
              <w:rPr>
                <w:b/>
                <w:bCs/>
                <w:lang w:eastAsia="zh-CN"/>
              </w:rPr>
            </w:pPr>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 one PRACH occasion by </w:t>
            </w:r>
            <w:r>
              <w:rPr>
                <w:i/>
              </w:rPr>
              <w:t>ssb-perRACH-OccasionAndCB-PreamblesPerSSB</w:t>
            </w:r>
            <w:r>
              <w:t xml:space="preserve"> and </w:t>
            </w:r>
            <w:r>
              <w:rPr>
                <w:highlight w:val="yellow"/>
              </w:rPr>
              <w:t xml:space="preserve">a number </w:t>
            </w:r>
            <m:oMath>
              <m:r>
                <w:rPr>
                  <w:rFonts w:ascii="Cambria Math" w:hAnsi="Cambria Math"/>
                  <w:highlight w:val="yellow"/>
                </w:rPr>
                <m:t>Q</m:t>
              </m:r>
            </m:oMath>
            <w:r>
              <w:rPr>
                <w:highlight w:val="yellow"/>
              </w:rPr>
              <w:t xml:space="preserve"> of contention based preambles per SS/PBCH block index per valid PRACH occasion by </w:t>
            </w:r>
            <w:r>
              <w:rPr>
                <w:i/>
                <w:highlight w:val="yellow"/>
              </w:rPr>
              <w:t>msgA-CB-PreamblesPerSSB-PerSharedRO</w:t>
            </w:r>
            <w:r>
              <w:rPr>
                <w:lang w:val="en-US"/>
              </w:rP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r>
              <w:rPr>
                <w:i/>
                <w:iCs/>
                <w:shd w:val="clear" w:color="auto" w:fill="FFFFFF"/>
              </w:rPr>
              <w:t>msgA-SSB-SharedRO-MaskIndex</w:t>
            </w:r>
            <w:r>
              <w:rPr>
                <w:rStyle w:val="83"/>
                <w:shd w:val="clear" w:color="auto" w:fill="FFFFFF"/>
              </w:rPr>
              <w:t xml:space="preserve"> </w:t>
            </w:r>
            <w:r>
              <w:rPr>
                <w:shd w:val="clear" w:color="auto" w:fill="FFFFFF"/>
              </w:rPr>
              <w:t>according to [11, TS 38.321]</w:t>
            </w:r>
            <w:r>
              <w:t>.</w:t>
            </w:r>
          </w:p>
        </w:tc>
      </w:tr>
    </w:tbl>
    <w:p>
      <w:pPr>
        <w:pStyle w:val="36"/>
        <w:rPr>
          <w:rFonts w:hint="default" w:ascii="Times New Roman" w:hAnsi="Times New Roman" w:cs="Times New Roman"/>
          <w:sz w:val="20"/>
          <w:szCs w:val="20"/>
          <w:highlight w:val="none"/>
          <w:lang w:val="en-US" w:eastAsia="zh-CN"/>
        </w:rPr>
      </w:pPr>
    </w:p>
    <w:p>
      <w:pPr>
        <w:pStyle w:val="36"/>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Besides, in TS 38.331 v17.0.0, for each feature combination, preamble number per SSB per shared RO and shared RO mask are defined as marked in green. In order to align with definition of TS 38.331,  some modifications are needed.</w:t>
      </w:r>
    </w:p>
    <w:p>
      <w:pPr>
        <w:pStyle w:val="36"/>
        <w:rPr>
          <w:rFonts w:hint="default" w:ascii="Times New Roman" w:hAnsi="Times New Roman" w:cs="Times New Roman"/>
          <w:sz w:val="20"/>
          <w:szCs w:val="20"/>
          <w:lang w:val="en-US" w:eastAsia="zh-CN"/>
        </w:rPr>
      </w:pPr>
      <w:r>
        <w:drawing>
          <wp:inline distT="0" distB="0" distL="114300" distR="114300">
            <wp:extent cx="5969635" cy="1591310"/>
            <wp:effectExtent l="0" t="0" r="12065" b="889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969635" cy="1591310"/>
                    </a:xfrm>
                    <a:prstGeom prst="rect">
                      <a:avLst/>
                    </a:prstGeom>
                    <a:noFill/>
                    <a:ln>
                      <a:noFill/>
                    </a:ln>
                  </pic:spPr>
                </pic:pic>
              </a:graphicData>
            </a:graphic>
          </wp:inline>
        </w:drawing>
      </w:r>
    </w:p>
    <w:p>
      <w:pPr>
        <w:rPr>
          <w:rFonts w:hint="default"/>
          <w:lang w:val="en-US" w:eastAsia="zh-CN"/>
        </w:rPr>
      </w:pPr>
      <w:r>
        <w:rPr>
          <w:rFonts w:hint="eastAsia"/>
          <w:lang w:val="en-US" w:eastAsia="zh-CN"/>
        </w:rPr>
        <w:t>For two issues above, the corresponding modifications may refer to TP #3 in Appendix.</w:t>
      </w:r>
    </w:p>
    <w:p>
      <w:pPr>
        <w:rPr>
          <w:rFonts w:hint="default"/>
          <w:lang w:val="en-US" w:eastAsia="zh-CN"/>
        </w:rPr>
      </w:pPr>
      <w:r>
        <w:rPr>
          <w:rFonts w:hint="eastAsia"/>
          <w:b/>
          <w:bCs/>
          <w:i/>
          <w:iCs/>
          <w:lang w:val="en-US" w:eastAsia="zh-CN"/>
        </w:rPr>
        <w:t>Proposal 4:</w:t>
      </w:r>
      <w:r>
        <w:rPr>
          <w:rFonts w:hint="eastAsia"/>
          <w:i/>
          <w:iCs/>
          <w:lang w:val="en-US" w:eastAsia="zh-CN"/>
        </w:rPr>
        <w:t xml:space="preserve"> </w:t>
      </w:r>
      <w:r>
        <w:rPr>
          <w:rFonts w:hint="eastAsia"/>
          <w:b/>
          <w:bCs/>
          <w:i/>
          <w:iCs/>
          <w:lang w:val="en-US" w:eastAsia="zh-CN"/>
        </w:rPr>
        <w:t>Adopt TP#3 in Clause 19.2 for TS 38.213.</w:t>
      </w:r>
    </w:p>
    <w:p>
      <w:pPr>
        <w:pStyle w:val="3"/>
        <w:keepNext/>
        <w:keepLines/>
        <w:pageBreakBefore w:val="0"/>
        <w:widowControl/>
        <w:kinsoku/>
        <w:wordWrap/>
        <w:overflowPunct/>
        <w:topLinePunct w:val="0"/>
        <w:autoSpaceDE/>
        <w:autoSpaceDN/>
        <w:bidi w:val="0"/>
        <w:adjustRightInd/>
        <w:snapToGrid/>
        <w:spacing w:after="240" w:line="260" w:lineRule="auto"/>
        <w:textAlignment w:val="auto"/>
        <w:rPr>
          <w:rFonts w:hint="default"/>
          <w:lang w:val="en-US" w:eastAsia="zh-CN"/>
        </w:rPr>
      </w:pPr>
      <w:r>
        <w:rPr>
          <w:rFonts w:hint="eastAsia"/>
          <w:lang w:val="en-US" w:eastAsia="zh-CN"/>
        </w:rPr>
        <w:t xml:space="preserve"> USS set for CG-SDT</w:t>
      </w:r>
    </w:p>
    <w:p>
      <w:pPr>
        <w:jc w:val="both"/>
        <w:rPr>
          <w:rFonts w:hint="default"/>
          <w:lang w:val="en-US" w:eastAsia="zh-CN"/>
        </w:rPr>
      </w:pPr>
      <w:r>
        <w:rPr>
          <w:rFonts w:hint="eastAsia"/>
          <w:lang w:val="en-US" w:eastAsia="zh-CN"/>
        </w:rPr>
        <w:t xml:space="preserve">As agreed in RAN1 in previous meeting, UE specific search space set is supported for CG-SDT, in addition, RAN1 has sent RRC parameter list including sdt-CG-SearchSpace for this USS set for CG-SDT. </w:t>
      </w:r>
    </w:p>
    <w:p>
      <w:pPr>
        <w:jc w:val="both"/>
        <w:rPr>
          <w:rFonts w:hint="default"/>
          <w:lang w:val="en-US" w:eastAsia="zh-CN"/>
        </w:rPr>
      </w:pPr>
      <w:r>
        <w:rPr>
          <w:rFonts w:hint="eastAsia"/>
          <w:lang w:val="en-US" w:eastAsia="zh-CN"/>
        </w:rPr>
        <w:t xml:space="preserve">However, in TS 38.331 v17.0.0, the USS set for CG-SDT is configured by </w:t>
      </w:r>
      <w:r>
        <w:rPr>
          <w:i/>
          <w:iCs/>
        </w:rPr>
        <w:t>pdcch-Config-r17</w:t>
      </w:r>
      <w:r>
        <w:rPr>
          <w:rFonts w:hint="eastAsia"/>
          <w:lang w:val="en-US" w:eastAsia="zh-CN"/>
        </w:rPr>
        <w:t xml:space="preserve"> in </w:t>
      </w:r>
      <w:r>
        <w:rPr>
          <w:i/>
          <w:iCs/>
        </w:rPr>
        <w:t>BWP-Downlink-Dedicated-SDT-r17</w:t>
      </w:r>
      <w:r>
        <w:rPr>
          <w:rFonts w:hint="eastAsia"/>
          <w:lang w:val="en-US" w:eastAsia="zh-CN"/>
        </w:rPr>
        <w:t xml:space="preserve">, which means that there is no specific parameter of USS set defined for CG-SDT, i.e. </w:t>
      </w:r>
      <w:r>
        <w:rPr>
          <w:i/>
          <w:iCs/>
          <w:lang w:val="en-US" w:eastAsia="zh-CN"/>
        </w:rPr>
        <w:t>sdt-</w:t>
      </w:r>
      <w:r>
        <w:rPr>
          <w:rFonts w:hint="eastAsia"/>
          <w:i/>
          <w:iCs/>
          <w:lang w:val="en-US" w:eastAsia="zh-CN"/>
        </w:rPr>
        <w:t>CG-</w:t>
      </w:r>
      <w:r>
        <w:rPr>
          <w:i/>
          <w:iCs/>
          <w:lang w:val="en-US" w:eastAsia="zh-CN"/>
        </w:rPr>
        <w:t>SearchSpace</w:t>
      </w:r>
      <w:r>
        <w:rPr>
          <w:rFonts w:hint="eastAsia"/>
          <w:lang w:val="en-US" w:eastAsia="zh-CN"/>
        </w:rPr>
        <w:t xml:space="preserve">. In order to align with definition in TS 38.331, </w:t>
      </w:r>
      <w:r>
        <w:rPr>
          <w:i/>
          <w:iCs/>
          <w:lang w:val="en-US" w:eastAsia="zh-CN"/>
        </w:rPr>
        <w:t>sdt-</w:t>
      </w:r>
      <w:r>
        <w:rPr>
          <w:rFonts w:hint="eastAsia"/>
          <w:i/>
          <w:iCs/>
          <w:lang w:val="en-US" w:eastAsia="zh-CN"/>
        </w:rPr>
        <w:t>CG-</w:t>
      </w:r>
      <w:r>
        <w:rPr>
          <w:i/>
          <w:iCs/>
          <w:lang w:val="en-US" w:eastAsia="zh-CN"/>
        </w:rPr>
        <w:t>SearchSpace</w:t>
      </w:r>
      <w:r>
        <w:rPr>
          <w:rFonts w:hint="eastAsia"/>
          <w:i/>
          <w:iCs/>
          <w:lang w:val="en-US" w:eastAsia="zh-CN"/>
        </w:rPr>
        <w:t xml:space="preserve"> </w:t>
      </w:r>
      <w:r>
        <w:rPr>
          <w:rFonts w:hint="eastAsia"/>
          <w:lang w:val="en-US" w:eastAsia="zh-CN"/>
        </w:rPr>
        <w:t xml:space="preserve">should be removed in the section 19.1 of TS 38.213. </w:t>
      </w:r>
    </w:p>
    <w:p>
      <w:pPr>
        <w:pStyle w:val="36"/>
        <w:rPr>
          <w:sz w:val="20"/>
          <w:szCs w:val="20"/>
        </w:rPr>
      </w:pPr>
      <w:r>
        <w:rPr>
          <w:sz w:val="20"/>
          <w:szCs w:val="20"/>
        </w:rPr>
        <w:drawing>
          <wp:inline distT="0" distB="0" distL="114300" distR="114300">
            <wp:extent cx="5967095" cy="487680"/>
            <wp:effectExtent l="0" t="0" r="14605"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67095" cy="487680"/>
                    </a:xfrm>
                    <a:prstGeom prst="rect">
                      <a:avLst/>
                    </a:prstGeom>
                    <a:noFill/>
                    <a:ln>
                      <a:noFill/>
                    </a:ln>
                  </pic:spPr>
                </pic:pic>
              </a:graphicData>
            </a:graphic>
          </wp:inline>
        </w:drawing>
      </w:r>
    </w:p>
    <w:p>
      <w:pPr>
        <w:pStyle w:val="36"/>
        <w:rPr>
          <w:rFonts w:hint="default" w:ascii="Times New Roman" w:hAnsi="Times New Roman" w:eastAsia="Times New Roman" w:cs="Times New Roman"/>
          <w:sz w:val="20"/>
          <w:szCs w:val="20"/>
          <w:lang w:val="en-US" w:eastAsia="zh-CN" w:bidi="ar-SA"/>
        </w:rPr>
      </w:pPr>
      <w:r>
        <w:rPr>
          <w:rFonts w:hint="eastAsia" w:ascii="Times New Roman" w:hAnsi="Times New Roman" w:eastAsia="Times New Roman" w:cs="Times New Roman"/>
          <w:sz w:val="20"/>
          <w:szCs w:val="20"/>
          <w:lang w:val="en-US" w:eastAsia="zh-CN" w:bidi="ar-SA"/>
        </w:rPr>
        <w:t>In addition, in section 10.1 in TS 38.213,</w:t>
      </w:r>
      <w:r>
        <w:rPr>
          <w:rFonts w:hint="default" w:ascii="Times New Roman" w:hAnsi="Times New Roman" w:eastAsia="Times New Roman" w:cs="Times New Roman"/>
          <w:sz w:val="20"/>
          <w:szCs w:val="20"/>
          <w:lang w:val="en-US" w:eastAsia="zh-CN" w:bidi="ar-SA"/>
        </w:rPr>
        <w:t xml:space="preserve"> </w:t>
      </w:r>
      <w:r>
        <w:rPr>
          <w:rFonts w:hint="default" w:ascii="Times New Roman" w:hAnsi="Times New Roman" w:cs="Times New Roman"/>
          <w:i/>
          <w:iCs/>
          <w:sz w:val="20"/>
          <w:szCs w:val="20"/>
          <w:lang w:val="en-US" w:eastAsia="zh-CN"/>
        </w:rPr>
        <w:t xml:space="preserve">sdt-CG-SearchSpace </w:t>
      </w:r>
      <w:r>
        <w:rPr>
          <w:rFonts w:hint="eastAsia" w:ascii="Times New Roman" w:hAnsi="Times New Roman" w:eastAsia="Times New Roman" w:cs="Times New Roman"/>
          <w:sz w:val="20"/>
          <w:szCs w:val="20"/>
          <w:lang w:val="en-US" w:eastAsia="zh-CN" w:bidi="ar-SA"/>
        </w:rPr>
        <w:t xml:space="preserve">is also used as below. Since the first sub-bullet has already included the second sub-bullet, it is feasible to remove the second bullet. </w:t>
      </w:r>
    </w:p>
    <w:p>
      <w:pPr>
        <w:pStyle w:val="36"/>
      </w:pPr>
      <w:r>
        <w:drawing>
          <wp:inline distT="0" distB="0" distL="114300" distR="114300">
            <wp:extent cx="5335905" cy="966470"/>
            <wp:effectExtent l="0" t="0" r="17145"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5335905" cy="966470"/>
                    </a:xfrm>
                    <a:prstGeom prst="rect">
                      <a:avLst/>
                    </a:prstGeom>
                    <a:noFill/>
                    <a:ln>
                      <a:noFill/>
                    </a:ln>
                  </pic:spPr>
                </pic:pic>
              </a:graphicData>
            </a:graphic>
          </wp:inline>
        </w:drawing>
      </w:r>
    </w:p>
    <w:p>
      <w:pPr>
        <w:pStyle w:val="36"/>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For </w:t>
      </w:r>
      <w:r>
        <w:rPr>
          <w:rFonts w:hint="eastAsia" w:ascii="Times New Roman" w:hAnsi="Times New Roman" w:cs="Times New Roman"/>
          <w:sz w:val="20"/>
          <w:szCs w:val="20"/>
          <w:lang w:val="en-US" w:eastAsia="zh-CN"/>
        </w:rPr>
        <w:t>two issues above, the corresponding modifications may refer to TP #4 in Appendix.</w:t>
      </w:r>
    </w:p>
    <w:p>
      <w:pPr>
        <w:rPr>
          <w:rFonts w:hint="default" w:eastAsia="宋体"/>
          <w:i/>
          <w:iCs/>
          <w:lang w:val="en-US" w:eastAsia="zh-CN"/>
        </w:rPr>
      </w:pPr>
      <w:r>
        <w:rPr>
          <w:rFonts w:hint="eastAsia"/>
          <w:b/>
          <w:bCs/>
          <w:i/>
          <w:iCs/>
          <w:lang w:val="en-US" w:eastAsia="zh-CN"/>
        </w:rPr>
        <w:t>Proposal 5:</w:t>
      </w:r>
      <w:r>
        <w:rPr>
          <w:rFonts w:hint="eastAsia"/>
          <w:i/>
          <w:iCs/>
          <w:lang w:val="en-US" w:eastAsia="zh-CN"/>
        </w:rPr>
        <w:t xml:space="preserve"> </w:t>
      </w:r>
      <w:r>
        <w:rPr>
          <w:rFonts w:hint="eastAsia"/>
          <w:b/>
          <w:bCs/>
          <w:i/>
          <w:iCs/>
          <w:lang w:val="en-US" w:eastAsia="zh-CN"/>
        </w:rPr>
        <w:t>Adopt TP#4 in Clause 10.1 and 19.1 for TS 38.213.</w:t>
      </w:r>
    </w:p>
    <w:p>
      <w:pPr>
        <w:rPr>
          <w:rFonts w:hint="default"/>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rPr>
          <w:rFonts w:hint="eastAsia"/>
          <w:lang w:val="en-US" w:eastAsia="zh-CN"/>
        </w:rPr>
      </w:pPr>
      <w:r>
        <w:rPr>
          <w:rFonts w:hint="eastAsia"/>
          <w:lang w:val="en-US" w:eastAsia="zh-CN"/>
        </w:rPr>
        <w:t xml:space="preserve">In this contribution, we have discussed the </w:t>
      </w:r>
      <w:r>
        <w:rPr>
          <w:lang w:val="en-US" w:eastAsia="zh-CN"/>
        </w:rPr>
        <w:t>remaining issues on</w:t>
      </w:r>
      <w:r>
        <w:rPr>
          <w:rFonts w:hint="eastAsia"/>
          <w:lang w:val="en-US" w:eastAsia="zh-CN"/>
        </w:rPr>
        <w:t xml:space="preserve"> association period, RedCap UE supporting SDT, PRACH configuration of RA-SDT and USS set for CG-SDT, below is the conclusion part.</w:t>
      </w:r>
    </w:p>
    <w:p>
      <w:pPr>
        <w:jc w:val="both"/>
        <w:rPr>
          <w:rFonts w:hint="default"/>
          <w:b/>
          <w:bCs/>
          <w:i/>
          <w:iCs/>
          <w:lang w:val="en-US" w:eastAsia="zh-CN"/>
        </w:rPr>
      </w:pPr>
      <w:r>
        <w:rPr>
          <w:rFonts w:hint="eastAsia"/>
          <w:b/>
          <w:bCs/>
          <w:i/>
          <w:iCs/>
          <w:lang w:val="en-US" w:eastAsia="zh-CN"/>
        </w:rPr>
        <w:t>Proposal 1: Adopt TP#1 in Clause 19.1 for TS 38.213.</w:t>
      </w:r>
    </w:p>
    <w:p>
      <w:pPr>
        <w:jc w:val="both"/>
        <w:rPr>
          <w:rFonts w:hint="default"/>
          <w:b/>
          <w:bCs/>
          <w:i/>
          <w:iCs/>
          <w:lang w:val="en-US" w:eastAsia="zh-CN"/>
        </w:rPr>
      </w:pPr>
      <w:r>
        <w:rPr>
          <w:rFonts w:hint="eastAsia"/>
          <w:b/>
          <w:bCs/>
          <w:i/>
          <w:iCs/>
          <w:lang w:val="en-US" w:eastAsia="zh-CN"/>
        </w:rPr>
        <w:t>Proposal 2: For RedCap UE performing SDT, CD-SSB can be used for SSS to CG PUSCH mapping and TA validation.</w:t>
      </w:r>
    </w:p>
    <w:p>
      <w:pPr>
        <w:jc w:val="both"/>
        <w:rPr>
          <w:rFonts w:hint="eastAsia"/>
          <w:b/>
          <w:bCs/>
          <w:i/>
          <w:iCs/>
          <w:lang w:val="en-US" w:eastAsia="zh-CN"/>
        </w:rPr>
      </w:pPr>
      <w:r>
        <w:rPr>
          <w:rFonts w:hint="eastAsia"/>
          <w:b/>
          <w:bCs/>
          <w:i/>
          <w:iCs/>
          <w:lang w:val="en-US" w:eastAsia="zh-CN"/>
        </w:rPr>
        <w:t xml:space="preserve">Proposal 3: For RedCap UE performing SDT, if separate initial BWP does not include any SSBs, the SSBs associated with initial BWP can be used for SSB to CG PUSCH mapping.  </w:t>
      </w:r>
    </w:p>
    <w:p>
      <w:pPr>
        <w:numPr>
          <w:ilvl w:val="0"/>
          <w:numId w:val="10"/>
        </w:numPr>
        <w:ind w:left="720" w:hanging="360"/>
        <w:jc w:val="both"/>
        <w:rPr>
          <w:rFonts w:hint="eastAsia"/>
          <w:b/>
          <w:bCs/>
          <w:i/>
          <w:iCs/>
          <w:lang w:val="en-US" w:eastAsia="zh-CN"/>
        </w:rPr>
      </w:pPr>
      <w:r>
        <w:rPr>
          <w:rFonts w:hint="eastAsia"/>
          <w:b/>
          <w:bCs/>
          <w:i/>
          <w:iCs/>
          <w:lang w:val="en-US" w:eastAsia="zh-CN"/>
        </w:rPr>
        <w:t>Adopt TP#2 in Clause 19.1 for TS 38.213.</w:t>
      </w:r>
    </w:p>
    <w:p>
      <w:pPr>
        <w:rPr>
          <w:rFonts w:hint="default"/>
          <w:lang w:val="en-US" w:eastAsia="zh-CN"/>
        </w:rPr>
      </w:pPr>
      <w:r>
        <w:rPr>
          <w:rFonts w:hint="eastAsia"/>
          <w:b/>
          <w:bCs/>
          <w:i/>
          <w:iCs/>
          <w:lang w:val="en-US" w:eastAsia="zh-CN"/>
        </w:rPr>
        <w:t>Proposal 4:</w:t>
      </w:r>
      <w:r>
        <w:rPr>
          <w:rFonts w:hint="eastAsia"/>
          <w:i/>
          <w:iCs/>
          <w:lang w:val="en-US" w:eastAsia="zh-CN"/>
        </w:rPr>
        <w:t xml:space="preserve"> </w:t>
      </w:r>
      <w:r>
        <w:rPr>
          <w:rFonts w:hint="eastAsia"/>
          <w:b/>
          <w:bCs/>
          <w:i/>
          <w:iCs/>
          <w:lang w:val="en-US" w:eastAsia="zh-CN"/>
        </w:rPr>
        <w:t>Adopt TP#3 in Clause 19.2 for TS 38.213.</w:t>
      </w:r>
    </w:p>
    <w:p>
      <w:pPr>
        <w:rPr>
          <w:lang w:val="en-US" w:eastAsia="zh-CN"/>
        </w:rPr>
      </w:pPr>
      <w:r>
        <w:rPr>
          <w:rFonts w:hint="eastAsia"/>
          <w:b/>
          <w:bCs/>
          <w:i/>
          <w:iCs/>
          <w:lang w:val="en-US" w:eastAsia="zh-CN"/>
        </w:rPr>
        <w:t>Proposal 5:</w:t>
      </w:r>
      <w:r>
        <w:rPr>
          <w:rFonts w:hint="eastAsia"/>
          <w:i/>
          <w:iCs/>
          <w:lang w:val="en-US" w:eastAsia="zh-CN"/>
        </w:rPr>
        <w:t xml:space="preserve"> </w:t>
      </w:r>
      <w:r>
        <w:rPr>
          <w:rFonts w:hint="eastAsia"/>
          <w:b/>
          <w:bCs/>
          <w:i/>
          <w:iCs/>
          <w:lang w:val="en-US" w:eastAsia="zh-CN"/>
        </w:rPr>
        <w:t>Adopt TP#4 in Clause 10.1 and 19.1 for TS 38.213.</w:t>
      </w:r>
      <w:bookmarkEnd w:id="1"/>
      <w:bookmarkEnd w:id="2"/>
      <w:bookmarkEnd w:id="3"/>
      <w:bookmarkEnd w:id="4"/>
    </w:p>
    <w:p>
      <w:pPr>
        <w:rPr>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bookmarkEnd w:id="0"/>
    </w:p>
    <w:p>
      <w:pPr>
        <w:widowControl w:val="0"/>
        <w:numPr>
          <w:ilvl w:val="0"/>
          <w:numId w:val="11"/>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38.213 h10, NR; Physical layer procedures for control</w:t>
      </w:r>
      <w:r>
        <w:rPr>
          <w:rFonts w:eastAsia="宋体"/>
          <w:lang w:val="en-US" w:eastAsia="zh-CN"/>
        </w:rPr>
        <w:t xml:space="preserve"> </w:t>
      </w:r>
      <w:r>
        <w:rPr>
          <w:rFonts w:hint="eastAsia" w:eastAsia="宋体"/>
          <w:lang w:val="en-US" w:eastAsia="zh-CN"/>
        </w:rPr>
        <w:t>(Release 17)</w:t>
      </w:r>
    </w:p>
    <w:p>
      <w:pPr>
        <w:widowControl w:val="0"/>
        <w:numPr>
          <w:ilvl w:val="0"/>
          <w:numId w:val="11"/>
        </w:numPr>
        <w:autoSpaceDE w:val="0"/>
        <w:autoSpaceDN w:val="0"/>
        <w:adjustRightInd w:val="0"/>
        <w:spacing w:before="120" w:beforeLines="50" w:after="120" w:afterLines="50" w:line="240" w:lineRule="auto"/>
        <w:jc w:val="both"/>
        <w:rPr>
          <w:rFonts w:eastAsia="宋体"/>
          <w:lang w:val="en-US" w:eastAsia="zh-CN"/>
        </w:rPr>
      </w:pPr>
      <w:r>
        <w:rPr>
          <w:rFonts w:hint="eastAsia"/>
          <w:lang w:val="en-US" w:eastAsia="zh-CN"/>
        </w:rPr>
        <w:t>RP-212594</w:t>
      </w:r>
      <w:r>
        <w:rPr>
          <w:rFonts w:hint="eastAsia" w:eastAsia="宋体"/>
          <w:lang w:val="en-US" w:eastAsia="zh-CN"/>
        </w:rPr>
        <w:t>,</w:t>
      </w:r>
      <w:r>
        <w:rPr>
          <w:rFonts w:eastAsia="宋体"/>
          <w:lang w:val="en-US" w:eastAsia="zh-CN"/>
        </w:rPr>
        <w:t>’</w:t>
      </w:r>
      <w:r>
        <w:rPr>
          <w:rFonts w:hint="eastAsia" w:eastAsia="宋体"/>
          <w:lang w:val="en-US" w:eastAsia="zh-CN"/>
        </w:rPr>
        <w:t>Work Item on NR small data transmissions in INACTIVE state</w:t>
      </w:r>
      <w:r>
        <w:rPr>
          <w:rFonts w:eastAsia="宋体"/>
          <w:lang w:val="en-US" w:eastAsia="zh-CN"/>
        </w:rPr>
        <w:t>’</w:t>
      </w:r>
      <w:r>
        <w:rPr>
          <w:rFonts w:hint="eastAsia" w:eastAsia="宋体"/>
          <w:lang w:val="en-US" w:eastAsia="zh-CN"/>
        </w:rPr>
        <w:t>,</w:t>
      </w:r>
      <w:r>
        <w:rPr>
          <w:rFonts w:eastAsia="宋体"/>
          <w:lang w:val="en-US" w:eastAsia="zh-CN"/>
        </w:rPr>
        <w:t xml:space="preserve"> </w:t>
      </w:r>
      <w:r>
        <w:rPr>
          <w:rFonts w:hint="eastAsia" w:eastAsia="宋体"/>
          <w:lang w:val="en-US" w:eastAsia="zh-CN"/>
        </w:rPr>
        <w:t>ZTE Corporation,</w:t>
      </w:r>
      <w:r>
        <w:rPr>
          <w:rFonts w:eastAsia="宋体"/>
          <w:lang w:val="en-US" w:eastAsia="zh-CN"/>
        </w:rPr>
        <w:t xml:space="preserve"> </w:t>
      </w:r>
      <w:r>
        <w:rPr>
          <w:rFonts w:hint="eastAsia" w:eastAsia="宋体"/>
          <w:lang w:val="en-US" w:eastAsia="zh-CN"/>
        </w:rPr>
        <w:t>September</w:t>
      </w:r>
      <w:r>
        <w:rPr>
          <w:rFonts w:eastAsia="宋体"/>
          <w:lang w:val="en-US" w:eastAsia="zh-CN"/>
        </w:rPr>
        <w:t>.</w:t>
      </w:r>
      <w:r>
        <w:rPr>
          <w:rFonts w:hint="eastAsia" w:eastAsia="宋体"/>
          <w:lang w:val="en-US" w:eastAsia="zh-CN"/>
        </w:rPr>
        <w:t xml:space="preserve"> 2021</w:t>
      </w:r>
    </w:p>
    <w:p>
      <w:pPr>
        <w:widowControl w:val="0"/>
        <w:numPr>
          <w:ilvl w:val="0"/>
          <w:numId w:val="11"/>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38.331 h00, NR; Radio Resource Control (RRC) protocol specification(Release 17)</w:t>
      </w:r>
    </w:p>
    <w:p>
      <w:pPr>
        <w:widowControl w:val="0"/>
        <w:numPr>
          <w:ilvl w:val="-1"/>
          <w:numId w:val="0"/>
        </w:numPr>
        <w:autoSpaceDE w:val="0"/>
        <w:autoSpaceDN w:val="0"/>
        <w:adjustRightInd w:val="0"/>
        <w:spacing w:before="120" w:beforeLines="50" w:after="120" w:afterLines="50" w:line="240" w:lineRule="auto"/>
        <w:ind w:left="0" w:firstLine="0"/>
        <w:jc w:val="both"/>
        <w:rPr>
          <w:rFonts w:eastAsia="宋体"/>
          <w:lang w:val="en-US" w:eastAsia="zh-CN"/>
        </w:rPr>
      </w:pPr>
    </w:p>
    <w:p>
      <w:pPr>
        <w:pStyle w:val="2"/>
        <w:bidi w:val="0"/>
        <w:rPr>
          <w:rFonts w:hint="default"/>
          <w:lang w:val="en-US" w:eastAsia="zh-CN"/>
        </w:rPr>
      </w:pPr>
      <w:r>
        <w:rPr>
          <w:rFonts w:hint="eastAsia"/>
          <w:lang w:val="en-US" w:eastAsia="zh-CN"/>
        </w:rPr>
        <w:t xml:space="preserve"> Appendix</w:t>
      </w:r>
    </w:p>
    <w:p>
      <w:pPr>
        <w:pStyle w:val="3"/>
        <w:numPr>
          <w:ilvl w:val="1"/>
          <w:numId w:val="0"/>
        </w:numPr>
        <w:bidi w:val="0"/>
        <w:ind w:leftChars="0"/>
        <w:rPr>
          <w:rFonts w:hint="default"/>
          <w:lang w:val="en-US" w:eastAsia="zh-CN"/>
        </w:rPr>
      </w:pPr>
      <w:r>
        <w:rPr>
          <w:rFonts w:hint="eastAsia"/>
          <w:lang w:val="en-US" w:eastAsia="zh-CN"/>
        </w:rPr>
        <w:t>TP#1</w:t>
      </w: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9620" w:type="dxa"/>
          </w:tcPr>
          <w:p>
            <w:pPr>
              <w:pStyle w:val="137"/>
              <w:widowControl w:val="0"/>
              <w:rPr>
                <w:rFonts w:hint="default" w:eastAsia="宋体"/>
                <w:b/>
                <w:i/>
                <w:sz w:val="20"/>
                <w:szCs w:val="20"/>
                <w:lang w:val="en-US" w:eastAsia="zh-CN"/>
              </w:rPr>
            </w:pPr>
            <w:r>
              <w:rPr>
                <w:b/>
                <w:i/>
                <w:sz w:val="20"/>
                <w:szCs w:val="20"/>
              </w:rPr>
              <w:t>Reason for change:</w:t>
            </w:r>
            <w:r>
              <w:rPr>
                <w:b w:val="0"/>
                <w:bCs/>
                <w:i w:val="0"/>
                <w:iCs/>
                <w:sz w:val="20"/>
                <w:szCs w:val="20"/>
              </w:rPr>
              <w:t xml:space="preserve"> </w:t>
            </w:r>
            <w:r>
              <w:rPr>
                <w:rFonts w:hint="eastAsia" w:eastAsia="宋体"/>
                <w:b w:val="0"/>
                <w:bCs/>
                <w:i w:val="0"/>
                <w:iCs/>
                <w:sz w:val="20"/>
                <w:szCs w:val="20"/>
                <w:lang w:val="en-US" w:eastAsia="zh-CN"/>
              </w:rPr>
              <w:t>The table of association period between SSB and CG PUSCH does not include CG period values less than 5ms, which is FFS.</w:t>
            </w:r>
          </w:p>
          <w:p>
            <w:pPr>
              <w:pStyle w:val="137"/>
              <w:widowControl w:val="0"/>
              <w:rPr>
                <w:rFonts w:hint="default" w:eastAsia="宋体"/>
                <w:sz w:val="20"/>
                <w:szCs w:val="20"/>
                <w:lang w:val="en-US" w:eastAsia="zh-CN"/>
              </w:rPr>
            </w:pPr>
            <w:r>
              <w:rPr>
                <w:b/>
                <w:i/>
                <w:sz w:val="20"/>
                <w:szCs w:val="20"/>
              </w:rPr>
              <w:t>Summary of change:</w:t>
            </w:r>
            <w:r>
              <w:rPr>
                <w:sz w:val="20"/>
                <w:szCs w:val="20"/>
              </w:rPr>
              <w:t xml:space="preserve"> </w:t>
            </w:r>
            <w:r>
              <w:rPr>
                <w:rFonts w:hint="eastAsia" w:eastAsia="宋体"/>
                <w:sz w:val="20"/>
                <w:szCs w:val="20"/>
                <w:lang w:val="en-US" w:eastAsia="zh-CN"/>
              </w:rPr>
              <w:t>Table 19.1-1 in TS 38.213 is revised to include CG period values less than 5ms.</w:t>
            </w:r>
          </w:p>
          <w:p>
            <w:pPr>
              <w:pStyle w:val="137"/>
              <w:widowControl w:val="0"/>
              <w:rPr>
                <w:b/>
                <w:bCs/>
                <w:iCs/>
                <w:color w:val="0070C0"/>
              </w:rPr>
            </w:pPr>
            <w:r>
              <w:rPr>
                <w:b/>
                <w:i/>
                <w:sz w:val="20"/>
                <w:szCs w:val="20"/>
              </w:rPr>
              <w:t>Consequences if not approved:</w:t>
            </w:r>
            <w:r>
              <w:rPr>
                <w:sz w:val="20"/>
                <w:szCs w:val="20"/>
              </w:rPr>
              <w:t xml:space="preserve"> </w:t>
            </w:r>
            <w:r>
              <w:rPr>
                <w:rFonts w:hint="eastAsia" w:eastAsia="宋体"/>
                <w:sz w:val="20"/>
                <w:szCs w:val="20"/>
                <w:lang w:val="en-US" w:eastAsia="zh-CN"/>
              </w:rPr>
              <w:t xml:space="preserve">Table 19.1-1 would be incomplete and the sentence in bracket </w:t>
            </w:r>
            <w:r>
              <w:rPr>
                <w:rFonts w:hint="default" w:eastAsia="宋体"/>
                <w:sz w:val="20"/>
                <w:szCs w:val="20"/>
                <w:lang w:val="en-US" w:eastAsia="zh-CN"/>
              </w:rPr>
              <w:t>“</w:t>
            </w:r>
            <w:r>
              <w:rPr>
                <w:rFonts w:hint="eastAsia" w:eastAsia="宋体"/>
                <w:sz w:val="20"/>
                <w:szCs w:val="20"/>
                <w:lang w:val="en-US" w:eastAsia="zh-CN"/>
              </w:rPr>
              <w:t>except when PUSCH configuration period is less than 5 msec</w:t>
            </w:r>
            <w:r>
              <w:rPr>
                <w:rFonts w:hint="default" w:eastAsia="宋体"/>
                <w:sz w:val="20"/>
                <w:szCs w:val="20"/>
                <w:lang w:val="en-US" w:eastAsia="zh-CN"/>
              </w:rPr>
              <w:t>”</w:t>
            </w:r>
            <w:r>
              <w:rPr>
                <w:rFonts w:hint="eastAsia" w:eastAsia="宋体"/>
                <w:sz w:val="20"/>
                <w:szCs w:val="20"/>
                <w:lang w:val="en-US" w:eastAsia="zh-CN"/>
              </w:rPr>
              <w:t xml:space="preserve"> cannot match the content of the table.</w:t>
            </w:r>
          </w:p>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pPr>
            <w:r>
              <w:rPr>
                <w:b/>
                <w:bCs/>
                <w:color w:val="FF0000"/>
                <w:lang w:eastAsia="zh-CN"/>
              </w:rPr>
              <w:t>&lt; Unchanged text omitted &gt;</w:t>
            </w:r>
          </w:p>
          <w:p>
            <w:pPr>
              <w:pStyle w:val="75"/>
              <w:rPr>
                <w:bCs/>
              </w:rPr>
            </w:pPr>
            <w:r>
              <w:t xml:space="preserve">Table </w:t>
            </w:r>
            <w:r>
              <w:rPr>
                <w:rFonts w:hint="eastAsia"/>
                <w:lang w:val="en-US" w:eastAsia="zh-CN"/>
              </w:rPr>
              <w:t>19.1-1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Style w:val="25"/>
              <w:tblW w:w="7820" w:type="dxa"/>
              <w:jc w:val="center"/>
              <w:tblLayout w:type="fixed"/>
              <w:tblCellMar>
                <w:top w:w="0" w:type="dxa"/>
                <w:left w:w="0" w:type="dxa"/>
                <w:bottom w:w="0" w:type="dxa"/>
                <w:right w:w="0" w:type="dxa"/>
              </w:tblCellMar>
            </w:tblPr>
            <w:tblGrid>
              <w:gridCol w:w="3325"/>
              <w:gridCol w:w="4495"/>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47"/>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rPr>
                            <w:rFonts w:ascii="Cambria Math" w:hAnsi="Cambria Math" w:eastAsia="Malgun Gothic"/>
                            <w:bCs/>
                            <w:i/>
                            <w:iCs/>
                            <w:sz w:val="20"/>
                          </w:rPr>
                        </m:ctrlPr>
                      </m:sSubPr>
                      <m:e>
                        <m:r>
                          <m:rPr>
                            <m:sty m:val="bi"/>
                          </m:rPr>
                          <w:rPr>
                            <w:rFonts w:ascii="Cambria Math" w:hAnsi="Cambria Math"/>
                            <w:sz w:val="20"/>
                          </w:rPr>
                          <m:t>T</m:t>
                        </m:r>
                        <m:ctrlPr>
                          <w:rPr>
                            <w:rFonts w:ascii="Cambria Math" w:hAnsi="Cambria Math" w:eastAsia="Malgun Gothic"/>
                            <w:bCs/>
                            <w:i/>
                            <w:iCs/>
                            <w:sz w:val="20"/>
                          </w:rPr>
                        </m:ctrlPr>
                      </m:e>
                      <m:sub>
                        <m:r>
                          <m:rPr>
                            <m:sty m:val="bi"/>
                          </m:rPr>
                          <w:rPr>
                            <w:rFonts w:ascii="Cambria Math" w:hAnsi="Cambria Math"/>
                            <w:sz w:val="20"/>
                          </w:rPr>
                          <m:t>cg</m:t>
                        </m:r>
                        <m:ctrlPr>
                          <w:rPr>
                            <w:rFonts w:ascii="Cambria Math" w:hAnsi="Cambria Math" w:eastAsia="Malgun Gothic"/>
                            <w:bCs/>
                            <w:i/>
                            <w:iCs/>
                            <w:sz w:val="20"/>
                          </w:rPr>
                        </m:ctrlPr>
                      </m:sub>
                    </m:sSub>
                  </m:oMath>
                  <w:r>
                    <w:rPr>
                      <w:rFonts w:ascii="Times New Roman" w:hAnsi="Times New Roman"/>
                      <w:sz w:val="20"/>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47"/>
                    <w:rPr>
                      <w:rFonts w:ascii="Times New Roman" w:hAnsi="Times New Roman"/>
                      <w:sz w:val="20"/>
                    </w:rPr>
                  </w:pPr>
                  <w:r>
                    <w:rPr>
                      <w:rFonts w:ascii="Times New Roman" w:hAnsi="Times New Roman"/>
                      <w:sz w:val="20"/>
                    </w:rPr>
                    <w:t>Associatio</w:t>
                  </w:r>
                  <w:r>
                    <w:rPr>
                      <w:rFonts w:ascii="Times New Roman" w:hAnsi="Times New Roman"/>
                      <w:sz w:val="20"/>
                      <w:highlight w:val="none"/>
                    </w:rPr>
                    <w:t xml:space="preserve">n period (number of </w:t>
                  </w:r>
                  <w:r>
                    <w:rPr>
                      <w:rFonts w:ascii="Times New Roman" w:hAnsi="Times New Roman"/>
                      <w:sz w:val="20"/>
                      <w:highlight w:val="none"/>
                      <w:lang w:eastAsia="zh-CN"/>
                    </w:rPr>
                    <w:t xml:space="preserve">PUSCH configuration </w:t>
                  </w:r>
                  <w:r>
                    <w:rPr>
                      <w:rFonts w:ascii="Times New Roman" w:hAnsi="Times New Roman"/>
                      <w:sz w:val="20"/>
                      <w:highlight w:val="none"/>
                    </w:rPr>
                    <w:t xml:space="preserve">periods </w:t>
                  </w:r>
                  <w:r>
                    <w:rPr>
                      <w:rFonts w:ascii="Times New Roman" w:hAnsi="Times New Roman"/>
                      <w:strike/>
                      <w:dstrike w:val="0"/>
                      <w:color w:val="FF0000"/>
                      <w:sz w:val="20"/>
                      <w:highlight w:val="none"/>
                    </w:rPr>
                    <w:t xml:space="preserve">except </w:t>
                  </w:r>
                  <w:r>
                    <w:rPr>
                      <w:rFonts w:ascii="Times New Roman" w:hAnsi="Times New Roman"/>
                      <w:sz w:val="20"/>
                      <w:highlight w:val="none"/>
                    </w:rPr>
                    <w:t xml:space="preserve">when </w:t>
                  </w:r>
                  <w:r>
                    <w:rPr>
                      <w:rFonts w:ascii="Times New Roman" w:hAnsi="Times New Roman"/>
                      <w:sz w:val="20"/>
                      <w:highlight w:val="none"/>
                      <w:lang w:eastAsia="zh-CN"/>
                    </w:rPr>
                    <w:t xml:space="preserve">PUSCH configuration </w:t>
                  </w:r>
                  <w:r>
                    <w:rPr>
                      <w:rFonts w:ascii="Times New Roman" w:hAnsi="Times New Roman"/>
                      <w:sz w:val="20"/>
                      <w:highlight w:val="none"/>
                    </w:rPr>
                    <w:t xml:space="preserve">period is </w:t>
                  </w:r>
                  <w:r>
                    <w:rPr>
                      <w:rFonts w:ascii="Times New Roman" w:hAnsi="Times New Roman"/>
                      <w:strike/>
                      <w:dstrike w:val="0"/>
                      <w:color w:val="FF0000"/>
                      <w:sz w:val="20"/>
                      <w:highlight w:val="none"/>
                    </w:rPr>
                    <w:t>less than 5</w:t>
                  </w:r>
                  <w:r>
                    <w:rPr>
                      <w:rFonts w:hint="eastAsia" w:ascii="Times New Roman" w:hAnsi="Times New Roman"/>
                      <w:sz w:val="20"/>
                      <w:highlight w:val="none"/>
                      <w:lang w:val="en-US" w:eastAsia="zh-CN"/>
                    </w:rPr>
                    <w:t xml:space="preserve"> </w:t>
                  </w:r>
                  <w:r>
                    <w:rPr>
                      <w:rFonts w:hint="eastAsia" w:ascii="Times New Roman" w:hAnsi="Times New Roman"/>
                      <w:color w:val="FF0000"/>
                      <w:sz w:val="20"/>
                      <w:highlight w:val="none"/>
                      <w:lang w:val="en-US" w:eastAsia="zh-CN"/>
                    </w:rPr>
                    <w:t>larger than 1</w:t>
                  </w:r>
                  <w:r>
                    <w:rPr>
                      <w:rFonts w:ascii="Times New Roman" w:hAnsi="Times New Roman"/>
                      <w:color w:val="FF0000"/>
                      <w:sz w:val="20"/>
                      <w:highlight w:val="none"/>
                    </w:rPr>
                    <w:t xml:space="preserve"> </w:t>
                  </w:r>
                  <w:r>
                    <w:rPr>
                      <w:rFonts w:ascii="Times New Roman" w:hAnsi="Times New Roman"/>
                      <w:sz w:val="20"/>
                      <w:highlight w:val="none"/>
                    </w:rPr>
                    <w:t>ms</w:t>
                  </w:r>
                  <w:r>
                    <w:rPr>
                      <w:rFonts w:ascii="Times New Roman" w:hAnsi="Times New Roman"/>
                      <w:sz w:val="20"/>
                      <w:highlight w:val="none"/>
                      <w:lang w:eastAsia="zh-CN"/>
                    </w:rPr>
                    <w:t>ec</w:t>
                  </w:r>
                  <w:r>
                    <w:rPr>
                      <w:rFonts w:ascii="Times New Roman" w:hAnsi="Times New Roman"/>
                      <w:sz w:val="20"/>
                      <w:highlight w:val="none"/>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hint="eastAsia" w:ascii="Times New Roman" w:hAnsi="Times New Roman"/>
                      <w:color w:val="FF0000"/>
                      <w:sz w:val="20"/>
                      <w:lang w:val="en-US" w:eastAsia="zh-CN"/>
                    </w:rPr>
                    <w:t>≦1</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hint="eastAsia" w:ascii="Times New Roman" w:hAnsi="Times New Roman"/>
                      <w:color w:val="FF0000"/>
                      <w:sz w:val="20"/>
                      <w:lang w:val="en-US" w:eastAsia="zh-CN"/>
                    </w:rPr>
                    <w:t xml:space="preserve">{5, 8, 10, 16, 20, 32, 40, 64, 80, 128, 160, 320, 640}ms </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hint="eastAsia" w:ascii="Times New Roman" w:hAnsi="Times New Roman"/>
                      <w:color w:val="FF0000"/>
                      <w:sz w:val="20"/>
                      <w:lang w:val="en-US" w:eastAsia="zh-CN"/>
                    </w:rPr>
                    <w:t>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ascii="Times New Roman" w:hAnsi="Times New Roman"/>
                      <w:color w:val="FF0000"/>
                      <w:sz w:val="20"/>
                    </w:rPr>
                    <w:t>{</w:t>
                  </w:r>
                  <w:r>
                    <w:rPr>
                      <w:rFonts w:hint="eastAsia" w:ascii="Times New Roman" w:hAnsi="Times New Roman"/>
                      <w:color w:val="FF0000"/>
                      <w:sz w:val="20"/>
                      <w:lang w:val="en-US" w:eastAsia="zh-CN"/>
                    </w:rPr>
                    <w:t>4</w:t>
                  </w:r>
                  <w:r>
                    <w:rPr>
                      <w:rFonts w:ascii="Times New Roman" w:hAnsi="Times New Roman"/>
                      <w:color w:val="FF0000"/>
                      <w:sz w:val="20"/>
                    </w:rPr>
                    <w:t xml:space="preserve">, </w:t>
                  </w:r>
                  <w:r>
                    <w:rPr>
                      <w:rFonts w:hint="eastAsia" w:ascii="Times New Roman" w:hAnsi="Times New Roman"/>
                      <w:color w:val="FF0000"/>
                      <w:sz w:val="20"/>
                      <w:lang w:val="en-US" w:eastAsia="zh-CN"/>
                    </w:rPr>
                    <w:t>5</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 xml:space="preserve">, </w:t>
                  </w:r>
                  <w:r>
                    <w:rPr>
                      <w:rFonts w:hint="eastAsia" w:ascii="Times New Roman" w:hAnsi="Times New Roman"/>
                      <w:color w:val="FF0000"/>
                      <w:sz w:val="20"/>
                      <w:lang w:val="en-US" w:eastAsia="zh-CN"/>
                    </w:rPr>
                    <w:t>10</w:t>
                  </w:r>
                  <w:r>
                    <w:rPr>
                      <w:rFonts w:ascii="Times New Roman" w:hAnsi="Times New Roman"/>
                      <w:color w:val="FF0000"/>
                      <w:sz w:val="20"/>
                    </w:rPr>
                    <w:t xml:space="preserve">, </w:t>
                  </w:r>
                  <w:r>
                    <w:rPr>
                      <w:rFonts w:hint="eastAsia" w:ascii="Times New Roman" w:hAnsi="Times New Roman"/>
                      <w:color w:val="FF0000"/>
                      <w:sz w:val="20"/>
                      <w:lang w:val="en-US" w:eastAsia="zh-CN"/>
                    </w:rPr>
                    <w:t>16</w:t>
                  </w:r>
                  <w:r>
                    <w:rPr>
                      <w:rFonts w:ascii="Times New Roman" w:hAnsi="Times New Roman"/>
                      <w:color w:val="FF0000"/>
                      <w:sz w:val="20"/>
                    </w:rPr>
                    <w:t xml:space="preserve">, </w:t>
                  </w:r>
                  <w:r>
                    <w:rPr>
                      <w:rFonts w:hint="eastAsia" w:ascii="Times New Roman" w:hAnsi="Times New Roman"/>
                      <w:color w:val="FF0000"/>
                      <w:sz w:val="20"/>
                      <w:lang w:val="en-US" w:eastAsia="zh-CN"/>
                    </w:rPr>
                    <w:t>20</w:t>
                  </w:r>
                  <w:r>
                    <w:rPr>
                      <w:rFonts w:ascii="Times New Roman" w:hAnsi="Times New Roman"/>
                      <w:color w:val="FF0000"/>
                      <w:sz w:val="20"/>
                    </w:rPr>
                    <w:t xml:space="preserve">, </w:t>
                  </w:r>
                  <w:r>
                    <w:rPr>
                      <w:rFonts w:hint="eastAsia" w:ascii="Times New Roman" w:hAnsi="Times New Roman"/>
                      <w:color w:val="FF0000"/>
                      <w:sz w:val="20"/>
                      <w:lang w:val="en-US" w:eastAsia="zh-CN"/>
                    </w:rPr>
                    <w:t>40</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0</w:t>
                  </w:r>
                  <w:r>
                    <w:rPr>
                      <w:rFonts w:hint="eastAsia" w:ascii="Times New Roman" w:hAnsi="Times New Roman"/>
                      <w:color w:val="FF0000"/>
                      <w:sz w:val="20"/>
                      <w:lang w:val="en-US" w:eastAsia="zh-CN"/>
                    </w:rPr>
                    <w:t>, 160, 320</w:t>
                  </w:r>
                  <w:r>
                    <w:rPr>
                      <w:rFonts w:ascii="Times New Roman" w:hAnsi="Times New Roman"/>
                      <w:color w:val="FF0000"/>
                      <w:sz w:val="20"/>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hint="eastAsia" w:ascii="Times New Roman" w:hAnsi="Times New Roman"/>
                      <w:color w:val="FF0000"/>
                      <w:sz w:val="20"/>
                      <w:lang w:val="en-US" w:eastAsia="zh-CN"/>
                    </w:rPr>
                    <w:t>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48"/>
                    <w:rPr>
                      <w:rFonts w:ascii="Times New Roman" w:hAnsi="Times New Roman"/>
                      <w:color w:val="FF0000"/>
                      <w:sz w:val="20"/>
                    </w:rPr>
                  </w:pPr>
                  <w:r>
                    <w:rPr>
                      <w:rFonts w:ascii="Times New Roman" w:hAnsi="Times New Roman"/>
                      <w:color w:val="FF0000"/>
                      <w:sz w:val="20"/>
                    </w:rPr>
                    <w:t>{</w:t>
                  </w:r>
                  <w:r>
                    <w:rPr>
                      <w:rFonts w:hint="eastAsia" w:ascii="Times New Roman" w:hAnsi="Times New Roman"/>
                      <w:color w:val="FF0000"/>
                      <w:sz w:val="20"/>
                      <w:lang w:val="en-US" w:eastAsia="zh-CN"/>
                    </w:rPr>
                    <w:t>2, 4</w:t>
                  </w:r>
                  <w:r>
                    <w:rPr>
                      <w:rFonts w:ascii="Times New Roman" w:hAnsi="Times New Roman"/>
                      <w:color w:val="FF0000"/>
                      <w:sz w:val="20"/>
                    </w:rPr>
                    <w:t xml:space="preserve">, </w:t>
                  </w:r>
                  <w:r>
                    <w:rPr>
                      <w:rFonts w:hint="eastAsia" w:ascii="Times New Roman" w:hAnsi="Times New Roman"/>
                      <w:color w:val="FF0000"/>
                      <w:sz w:val="20"/>
                      <w:lang w:val="en-US" w:eastAsia="zh-CN"/>
                    </w:rPr>
                    <w:t>5</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 xml:space="preserve">, </w:t>
                  </w:r>
                  <w:r>
                    <w:rPr>
                      <w:rFonts w:hint="eastAsia" w:ascii="Times New Roman" w:hAnsi="Times New Roman"/>
                      <w:color w:val="FF0000"/>
                      <w:sz w:val="20"/>
                      <w:lang w:val="en-US" w:eastAsia="zh-CN"/>
                    </w:rPr>
                    <w:t>10</w:t>
                  </w:r>
                  <w:r>
                    <w:rPr>
                      <w:rFonts w:ascii="Times New Roman" w:hAnsi="Times New Roman"/>
                      <w:color w:val="FF0000"/>
                      <w:sz w:val="20"/>
                    </w:rPr>
                    <w:t xml:space="preserve">, </w:t>
                  </w:r>
                  <w:r>
                    <w:rPr>
                      <w:rFonts w:hint="eastAsia" w:ascii="Times New Roman" w:hAnsi="Times New Roman"/>
                      <w:color w:val="FF0000"/>
                      <w:sz w:val="20"/>
                      <w:lang w:val="en-US" w:eastAsia="zh-CN"/>
                    </w:rPr>
                    <w:t>16</w:t>
                  </w:r>
                  <w:r>
                    <w:rPr>
                      <w:rFonts w:ascii="Times New Roman" w:hAnsi="Times New Roman"/>
                      <w:color w:val="FF0000"/>
                      <w:sz w:val="20"/>
                    </w:rPr>
                    <w:t xml:space="preserve">, </w:t>
                  </w:r>
                  <w:r>
                    <w:rPr>
                      <w:rFonts w:hint="eastAsia" w:ascii="Times New Roman" w:hAnsi="Times New Roman"/>
                      <w:color w:val="FF0000"/>
                      <w:sz w:val="20"/>
                      <w:lang w:val="en-US" w:eastAsia="zh-CN"/>
                    </w:rPr>
                    <w:t>20</w:t>
                  </w:r>
                  <w:r>
                    <w:rPr>
                      <w:rFonts w:ascii="Times New Roman" w:hAnsi="Times New Roman"/>
                      <w:color w:val="FF0000"/>
                      <w:sz w:val="20"/>
                    </w:rPr>
                    <w:t xml:space="preserve">, </w:t>
                  </w:r>
                  <w:r>
                    <w:rPr>
                      <w:rFonts w:hint="eastAsia" w:ascii="Times New Roman" w:hAnsi="Times New Roman"/>
                      <w:color w:val="FF0000"/>
                      <w:sz w:val="20"/>
                      <w:lang w:val="en-US" w:eastAsia="zh-CN"/>
                    </w:rPr>
                    <w:t>40</w:t>
                  </w:r>
                  <w:r>
                    <w:rPr>
                      <w:rFonts w:ascii="Times New Roman" w:hAnsi="Times New Roman"/>
                      <w:color w:val="FF0000"/>
                      <w:sz w:val="20"/>
                    </w:rPr>
                    <w:t xml:space="preserve">, </w:t>
                  </w:r>
                  <w:r>
                    <w:rPr>
                      <w:rFonts w:hint="eastAsia" w:ascii="Times New Roman" w:hAnsi="Times New Roman"/>
                      <w:color w:val="FF0000"/>
                      <w:sz w:val="20"/>
                      <w:lang w:val="en-US" w:eastAsia="zh-CN"/>
                    </w:rPr>
                    <w:t>8</w:t>
                  </w:r>
                  <w:r>
                    <w:rPr>
                      <w:rFonts w:ascii="Times New Roman" w:hAnsi="Times New Roman"/>
                      <w:color w:val="FF0000"/>
                      <w:sz w:val="20"/>
                    </w:rPr>
                    <w:t>0</w:t>
                  </w:r>
                  <w:r>
                    <w:rPr>
                      <w:rFonts w:hint="eastAsia" w:ascii="Times New Roman" w:hAnsi="Times New Roman"/>
                      <w:color w:val="FF0000"/>
                      <w:sz w:val="20"/>
                      <w:lang w:val="en-US" w:eastAsia="zh-CN"/>
                    </w:rPr>
                    <w:t>, 160</w:t>
                  </w:r>
                  <w:r>
                    <w:rPr>
                      <w:rFonts w:ascii="Times New Roman" w:hAnsi="Times New Roman"/>
                      <w:color w:val="FF0000"/>
                      <w:sz w:val="20"/>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8,16, 32, 64, 128}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8,16, 32, 64}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5, 8,10,20,40}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 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8"/>
                    <w:rPr>
                      <w:rFonts w:ascii="Times New Roman" w:hAnsi="Times New Roman"/>
                      <w:sz w:val="20"/>
                    </w:rPr>
                  </w:pPr>
                  <w:r>
                    <w:rPr>
                      <w:rFonts w:ascii="Times New Roman" w:hAnsi="Times New Roman"/>
                      <w:sz w:val="20"/>
                    </w:rPr>
                    <w:t>{1</w:t>
                  </w:r>
                  <w:r>
                    <w:rPr>
                      <w:rFonts w:ascii="Times New Roman" w:hAnsi="Times New Roman"/>
                      <w:sz w:val="20"/>
                      <w:lang w:eastAsia="zh-CN"/>
                    </w:rPr>
                    <w:t xml:space="preserve"> </w:t>
                  </w:r>
                  <w:r>
                    <w:rPr>
                      <w:rFonts w:ascii="Times New Roman" w:hAnsi="Times New Roman"/>
                      <w:sz w:val="20"/>
                    </w:rPr>
                    <w:t>}</w:t>
                  </w:r>
                </w:p>
              </w:tc>
            </w:tr>
          </w:tbl>
          <w:p>
            <w:pPr>
              <w:jc w:val="center"/>
              <w:rPr>
                <w:rFonts w:hint="default"/>
                <w:vertAlign w:val="baseline"/>
                <w:lang w:val="en-US" w:eastAsia="zh-CN"/>
              </w:rPr>
            </w:pPr>
            <w:r>
              <w:rPr>
                <w:b/>
                <w:bCs/>
                <w:color w:val="FF0000"/>
                <w:lang w:eastAsia="zh-CN"/>
              </w:rPr>
              <w:t>&lt; Unchanged text omitted &gt;</w:t>
            </w:r>
          </w:p>
        </w:tc>
      </w:tr>
    </w:tbl>
    <w:p>
      <w:pPr>
        <w:rPr>
          <w:rFonts w:hint="default"/>
          <w:lang w:val="en-US" w:eastAsia="zh-CN"/>
        </w:rPr>
      </w:pPr>
    </w:p>
    <w:p>
      <w:pPr>
        <w:pStyle w:val="3"/>
        <w:numPr>
          <w:ilvl w:val="1"/>
          <w:numId w:val="0"/>
        </w:numPr>
        <w:bidi w:val="0"/>
        <w:ind w:leftChars="0"/>
        <w:rPr>
          <w:rFonts w:hint="default"/>
          <w:lang w:val="en-US" w:eastAsia="zh-CN"/>
        </w:rPr>
      </w:pPr>
      <w:r>
        <w:rPr>
          <w:rFonts w:hint="eastAsia"/>
          <w:lang w:val="en-US" w:eastAsia="zh-CN"/>
        </w:rPr>
        <w:t>TP#2</w:t>
      </w: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137"/>
              <w:widowControl w:val="0"/>
              <w:rPr>
                <w:rFonts w:hint="default" w:eastAsia="宋体"/>
                <w:b/>
                <w:i/>
                <w:sz w:val="20"/>
                <w:szCs w:val="20"/>
                <w:lang w:val="en-US" w:eastAsia="zh-CN"/>
              </w:rPr>
            </w:pPr>
            <w:r>
              <w:rPr>
                <w:b/>
                <w:i/>
                <w:sz w:val="20"/>
                <w:szCs w:val="20"/>
              </w:rPr>
              <w:t>Reason for change:</w:t>
            </w:r>
            <w:r>
              <w:rPr>
                <w:b w:val="0"/>
                <w:bCs/>
                <w:i w:val="0"/>
                <w:iCs/>
                <w:sz w:val="20"/>
                <w:szCs w:val="20"/>
              </w:rPr>
              <w:t xml:space="preserve"> </w:t>
            </w:r>
            <w:r>
              <w:rPr>
                <w:rFonts w:hint="eastAsia" w:eastAsia="宋体"/>
                <w:b w:val="0"/>
                <w:bCs/>
                <w:i w:val="0"/>
                <w:iCs/>
                <w:sz w:val="20"/>
                <w:szCs w:val="20"/>
                <w:lang w:val="en-US" w:eastAsia="zh-CN"/>
              </w:rPr>
              <w:t>for Redcap UE, associated SSB is not clear in case of no SSB associated with separate initial BWP.</w:t>
            </w:r>
          </w:p>
          <w:p>
            <w:pPr>
              <w:pStyle w:val="137"/>
              <w:widowControl w:val="0"/>
              <w:rPr>
                <w:rFonts w:hint="default" w:eastAsia="宋体"/>
                <w:sz w:val="20"/>
                <w:szCs w:val="20"/>
                <w:lang w:val="en-US" w:eastAsia="zh-CN"/>
              </w:rPr>
            </w:pPr>
            <w:r>
              <w:rPr>
                <w:b/>
                <w:i/>
                <w:sz w:val="20"/>
                <w:szCs w:val="20"/>
              </w:rPr>
              <w:t>Summary of change:</w:t>
            </w:r>
            <w:r>
              <w:rPr>
                <w:sz w:val="20"/>
                <w:szCs w:val="20"/>
              </w:rPr>
              <w:t xml:space="preserve"> </w:t>
            </w:r>
            <w:r>
              <w:rPr>
                <w:rFonts w:hint="eastAsia" w:eastAsia="宋体"/>
                <w:sz w:val="20"/>
                <w:szCs w:val="20"/>
                <w:lang w:val="en-US" w:eastAsia="zh-CN"/>
              </w:rPr>
              <w:t>if there is  no SSB in separate initial BWP, CD-SSB in legacy initial BWP can be use for mapping.</w:t>
            </w:r>
          </w:p>
          <w:p>
            <w:pPr>
              <w:pStyle w:val="137"/>
              <w:widowControl w:val="0"/>
              <w:rPr>
                <w:rFonts w:hint="default" w:eastAsia="宋体"/>
                <w:b/>
                <w:bCs/>
                <w:iCs/>
                <w:color w:val="0070C0"/>
                <w:lang w:val="en-US" w:eastAsia="zh-CN"/>
              </w:rPr>
            </w:pPr>
            <w:r>
              <w:rPr>
                <w:b/>
                <w:i/>
                <w:sz w:val="20"/>
                <w:szCs w:val="20"/>
              </w:rPr>
              <w:t>Consequences if not approved:</w:t>
            </w:r>
            <w:r>
              <w:rPr>
                <w:sz w:val="20"/>
                <w:szCs w:val="20"/>
              </w:rPr>
              <w:t xml:space="preserve"> </w:t>
            </w:r>
            <w:r>
              <w:rPr>
                <w:rFonts w:hint="eastAsia" w:eastAsia="宋体"/>
                <w:sz w:val="20"/>
                <w:szCs w:val="20"/>
                <w:lang w:val="en-US" w:eastAsia="zh-CN"/>
              </w:rPr>
              <w:t>associated SSB is not clear.</w:t>
            </w:r>
          </w:p>
          <w:p>
            <w:pPr>
              <w:widowControl w:val="0"/>
              <w:spacing w:before="120" w:line="240" w:lineRule="auto"/>
              <w:jc w:val="center"/>
              <w:rPr>
                <w:rFonts w:hint="default"/>
                <w:vertAlign w:val="baseline"/>
                <w:lang w:val="en-US" w:eastAsia="zh-CN"/>
              </w:rPr>
            </w:pPr>
            <w:r>
              <w:rPr>
                <w:b/>
                <w:bCs/>
                <w:iCs/>
                <w:color w:val="0070C0"/>
              </w:rPr>
              <w:t>------------------------------   TS 38.213-----------------------------------</w:t>
            </w:r>
          </w:p>
          <w:p>
            <w:pPr>
              <w:widowControl w:val="0"/>
              <w:spacing w:line="240" w:lineRule="auto"/>
              <w:jc w:val="center"/>
              <w:rPr>
                <w:rFonts w:hint="default"/>
                <w:vertAlign w:val="baseline"/>
                <w:lang w:val="en-US" w:eastAsia="zh-CN"/>
              </w:rPr>
            </w:pPr>
            <w:r>
              <w:rPr>
                <w:b/>
                <w:bCs/>
                <w:color w:val="FF0000"/>
                <w:lang w:eastAsia="zh-CN"/>
              </w:rPr>
              <w:t>&lt; Unchanged text omitted &gt;</w:t>
            </w:r>
          </w:p>
          <w:p>
            <w:pPr>
              <w:pStyle w:val="3"/>
              <w:numPr>
                <w:ilvl w:val="1"/>
                <w:numId w:val="0"/>
              </w:numPr>
              <w:ind w:leftChars="0"/>
            </w:pPr>
            <w:r>
              <w:t>19.1</w:t>
            </w:r>
            <w:r>
              <w:tab/>
            </w:r>
            <w:r>
              <w:t>Configured-grant based PUSCH transmission</w:t>
            </w:r>
          </w:p>
          <w:p>
            <w:pPr>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rPr>
                <w:lang w:val="en-US"/>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by </w:t>
            </w:r>
            <w:r>
              <w:rPr>
                <w:i/>
              </w:rPr>
              <w:t>ServingCellConfigCommon</w:t>
            </w:r>
            <w:r>
              <w:rPr>
                <w:iCs/>
              </w:rPr>
              <w:t xml:space="preserve">. </w:t>
            </w:r>
            <w:r>
              <w:rPr>
                <w:lang w:val="en-US"/>
              </w:rPr>
              <w:t xml:space="preserve">A PUSCH occasion for a PUSCH transmission is defined by a time resource and a frequency resource and is associated with a DM-RS provided by </w:t>
            </w:r>
            <w:r>
              <w:rPr>
                <w:i/>
                <w:iCs/>
                <w:lang w:val="en-US"/>
              </w:rPr>
              <w:t>cg-DMRS-Configuration</w:t>
            </w:r>
            <w:r>
              <w:rPr>
                <w:lang w:val="en-US"/>
              </w:rPr>
              <w:t xml:space="preserve"> for the configuration of </w:t>
            </w:r>
            <w:r>
              <w:t>PUSCH transmissions</w:t>
            </w:r>
            <w:r>
              <w:rPr>
                <w:lang w:val="en-US"/>
              </w:rPr>
              <w:t>.</w:t>
            </w:r>
          </w:p>
          <w:p>
            <w:pPr>
              <w:rPr>
                <w:rFonts w:ascii="Tms Rmn" w:hAnsi="Tms Rmn" w:eastAsia="MS Mincho"/>
                <w:color w:val="FF0000"/>
                <w:u w:val="none"/>
              </w:rPr>
            </w:pPr>
            <w:r>
              <w:rPr>
                <w:rFonts w:hint="eastAsia"/>
                <w:color w:val="FF0000"/>
                <w:u w:val="none"/>
                <w:lang w:val="en-US" w:eastAsia="zh-CN"/>
              </w:rPr>
              <w:t xml:space="preserve">For a RedCap UE, if it is configured with a BWP indicated by </w:t>
            </w:r>
            <w:r>
              <w:rPr>
                <w:rFonts w:ascii="Tms Rmn" w:hAnsi="Tms Rmn" w:eastAsia="MS Mincho"/>
                <w:i/>
                <w:iCs/>
                <w:color w:val="FF0000"/>
                <w:u w:val="none"/>
              </w:rPr>
              <w:t>initialDownlinkBWP-RedCap</w:t>
            </w:r>
            <w:r>
              <w:rPr>
                <w:rFonts w:hint="eastAsia" w:ascii="Tms Rmn" w:hAnsi="Tms Rmn" w:eastAsia="宋体"/>
                <w:i/>
                <w:iCs/>
                <w:color w:val="FF0000"/>
                <w:u w:val="none"/>
                <w:lang w:val="en-US" w:eastAsia="zh-CN"/>
              </w:rPr>
              <w:t>-r17</w:t>
            </w:r>
            <w:r>
              <w:rPr>
                <w:rFonts w:ascii="Tms Rmn" w:hAnsi="Tms Rmn" w:eastAsia="MS Mincho"/>
                <w:color w:val="FF0000"/>
                <w:u w:val="none"/>
              </w:rPr>
              <w:t xml:space="preserve"> which is not associated with any SS/PBCH block</w:t>
            </w:r>
            <w:r>
              <w:rPr>
                <w:rFonts w:hint="eastAsia" w:ascii="Tms Rmn" w:hAnsi="Tms Rmn" w:eastAsia="宋体"/>
                <w:color w:val="FF0000"/>
                <w:u w:val="none"/>
                <w:lang w:val="en-US" w:eastAsia="zh-CN"/>
              </w:rPr>
              <w:t>, CG resource can be associated with SS/PBCH blocks in the BWP</w:t>
            </w:r>
            <w:r>
              <w:rPr>
                <w:rFonts w:ascii="Tms Rmn" w:hAnsi="Tms Rmn" w:eastAsia="MS Mincho"/>
                <w:color w:val="FF0000"/>
                <w:u w:val="none"/>
              </w:rPr>
              <w:t xml:space="preserve"> indicated by </w:t>
            </w:r>
            <w:r>
              <w:rPr>
                <w:rFonts w:ascii="Tms Rmn" w:hAnsi="Tms Rmn" w:eastAsia="MS Mincho"/>
                <w:i/>
                <w:iCs/>
                <w:color w:val="FF0000"/>
                <w:u w:val="none"/>
              </w:rPr>
              <w:t>initialDownlinkBWP</w:t>
            </w:r>
            <w:r>
              <w:rPr>
                <w:rFonts w:ascii="Tms Rmn" w:hAnsi="Tms Rmn" w:eastAsia="MS Mincho"/>
                <w:color w:val="FF0000"/>
                <w:u w:val="none"/>
              </w:rPr>
              <w:t>.</w:t>
            </w:r>
          </w:p>
          <w:p>
            <w:pPr>
              <w:widowControl w:val="0"/>
              <w:spacing w:line="240" w:lineRule="auto"/>
              <w:jc w:val="center"/>
              <w:rPr>
                <w:rFonts w:hint="default"/>
                <w:vertAlign w:val="baseline"/>
                <w:lang w:val="en-US" w:eastAsia="zh-CN"/>
              </w:rPr>
            </w:pPr>
            <w:r>
              <w:rPr>
                <w:b/>
                <w:bCs/>
                <w:color w:val="FF0000"/>
                <w:lang w:eastAsia="zh-CN"/>
              </w:rPr>
              <w:t>&lt; Unchanged text omitted &gt;</w:t>
            </w:r>
          </w:p>
          <w:p>
            <w:pPr>
              <w:rPr>
                <w:rFonts w:hint="default" w:ascii="Tms Rmn" w:hAnsi="Tms Rmn" w:eastAsia="MS Mincho"/>
                <w:color w:val="FF0000"/>
                <w:u w:val="none"/>
                <w:lang w:val="en-US" w:eastAsia="zh-CN"/>
              </w:rPr>
            </w:pPr>
          </w:p>
        </w:tc>
      </w:tr>
    </w:tbl>
    <w:p>
      <w:pPr>
        <w:rPr>
          <w:rFonts w:hint="default"/>
          <w:lang w:val="en-US" w:eastAsia="zh-CN"/>
        </w:rPr>
      </w:pPr>
    </w:p>
    <w:p>
      <w:pPr>
        <w:rPr>
          <w:rFonts w:hint="default"/>
          <w:lang w:val="en-US" w:eastAsia="zh-CN"/>
        </w:rPr>
      </w:pPr>
    </w:p>
    <w:p>
      <w:pPr>
        <w:pStyle w:val="3"/>
        <w:numPr>
          <w:ilvl w:val="1"/>
          <w:numId w:val="0"/>
        </w:numPr>
        <w:bidi w:val="0"/>
        <w:ind w:leftChars="0"/>
        <w:rPr>
          <w:rFonts w:hint="default" w:eastAsia="宋体"/>
          <w:lang w:val="en-US" w:eastAsia="zh-CN"/>
        </w:rPr>
      </w:pPr>
      <w:r>
        <w:rPr>
          <w:rFonts w:hint="eastAsia"/>
          <w:lang w:val="en-US" w:eastAsia="zh-CN"/>
        </w:rPr>
        <w:t>TP#3</w:t>
      </w: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137"/>
              <w:widowControl w:val="0"/>
              <w:rPr>
                <w:rFonts w:hint="default" w:eastAsia="宋体"/>
                <w:b/>
                <w:i/>
                <w:sz w:val="20"/>
                <w:szCs w:val="20"/>
                <w:lang w:val="en-US" w:eastAsia="zh-CN"/>
              </w:rPr>
            </w:pPr>
            <w:r>
              <w:rPr>
                <w:b/>
                <w:i/>
                <w:sz w:val="20"/>
                <w:szCs w:val="20"/>
              </w:rPr>
              <w:t>Reason for change:</w:t>
            </w:r>
            <w:r>
              <w:rPr>
                <w:b w:val="0"/>
                <w:bCs/>
                <w:i w:val="0"/>
                <w:iCs/>
                <w:sz w:val="20"/>
                <w:szCs w:val="20"/>
              </w:rPr>
              <w:t xml:space="preserve"> </w:t>
            </w:r>
            <w:r>
              <w:rPr>
                <w:rFonts w:hint="eastAsia" w:cs="Times New Roman"/>
                <w:sz w:val="20"/>
                <w:szCs w:val="20"/>
                <w:highlight w:val="none"/>
                <w:lang w:val="en-US" w:eastAsia="zh-CN"/>
              </w:rPr>
              <w:t xml:space="preserve">Description error for parameter </w:t>
            </w:r>
            <w:r>
              <w:rPr>
                <w:rFonts w:hint="default" w:ascii="Times New Roman" w:hAnsi="Times New Roman" w:cs="Times New Roman"/>
                <w:i/>
                <w:iCs w:val="0"/>
                <w:sz w:val="20"/>
                <w:szCs w:val="20"/>
                <w:highlight w:val="none"/>
              </w:rPr>
              <w:t>sdt-CB-PreamblesPerSSB-PerSharedRO</w:t>
            </w:r>
            <w:r>
              <w:rPr>
                <w:rFonts w:hint="eastAsia" w:ascii="Times New Roman" w:hAnsi="Times New Roman" w:cs="Times New Roman"/>
                <w:i/>
                <w:iCs w:val="0"/>
                <w:sz w:val="20"/>
                <w:szCs w:val="20"/>
                <w:highlight w:val="none"/>
                <w:lang w:val="en-US" w:eastAsia="zh-CN"/>
              </w:rPr>
              <w:t>/</w:t>
            </w:r>
            <w:r>
              <w:rPr>
                <w:rFonts w:hint="default" w:ascii="Times New Roman" w:hAnsi="Times New Roman" w:cs="Times New Roman"/>
                <w:i/>
                <w:iCs w:val="0"/>
                <w:sz w:val="20"/>
                <w:szCs w:val="20"/>
                <w:highlight w:val="none"/>
              </w:rPr>
              <w:t>sdt-msgA-CB-PreamblesPerSSB-PerSharedRO</w:t>
            </w:r>
            <w:r>
              <w:rPr>
                <w:rFonts w:hint="eastAsia" w:eastAsia="宋体" w:cs="Times New Roman"/>
                <w:i w:val="0"/>
                <w:iCs/>
                <w:sz w:val="20"/>
                <w:szCs w:val="20"/>
                <w:highlight w:val="none"/>
                <w:lang w:val="en-US" w:eastAsia="zh-CN"/>
              </w:rPr>
              <w:t>. P</w:t>
            </w:r>
            <w:r>
              <w:rPr>
                <w:rFonts w:hint="eastAsia" w:eastAsia="宋体"/>
                <w:b w:val="0"/>
                <w:bCs/>
                <w:i w:val="0"/>
                <w:iCs/>
                <w:sz w:val="20"/>
                <w:szCs w:val="20"/>
                <w:lang w:val="en-US" w:eastAsia="zh-CN"/>
              </w:rPr>
              <w:t>arameter name is not consistent with TS 38.331.</w:t>
            </w:r>
          </w:p>
          <w:p>
            <w:pPr>
              <w:pStyle w:val="137"/>
              <w:widowControl w:val="0"/>
              <w:rPr>
                <w:rFonts w:hint="eastAsia" w:eastAsia="宋体"/>
                <w:sz w:val="20"/>
                <w:szCs w:val="20"/>
                <w:lang w:val="en-US" w:eastAsia="zh-CN"/>
              </w:rPr>
            </w:pPr>
            <w:r>
              <w:rPr>
                <w:b/>
                <w:i/>
                <w:sz w:val="20"/>
                <w:szCs w:val="20"/>
              </w:rPr>
              <w:t>Summary of change:</w:t>
            </w:r>
            <w:r>
              <w:rPr>
                <w:sz w:val="20"/>
                <w:szCs w:val="20"/>
              </w:rPr>
              <w:t xml:space="preserve"> </w:t>
            </w:r>
            <w:r>
              <w:rPr>
                <w:rFonts w:hint="eastAsia" w:eastAsia="宋体"/>
                <w:sz w:val="20"/>
                <w:szCs w:val="20"/>
                <w:lang w:val="en-US" w:eastAsia="zh-CN"/>
              </w:rPr>
              <w:t xml:space="preserve">a number of SSB indexes is replaced by a number of preambles. </w:t>
            </w:r>
            <w:r>
              <w:rPr>
                <w:rFonts w:hint="default" w:ascii="Times New Roman" w:hAnsi="Times New Roman" w:cs="Times New Roman"/>
                <w:i/>
                <w:iCs w:val="0"/>
                <w:sz w:val="20"/>
                <w:szCs w:val="20"/>
                <w:highlight w:val="none"/>
              </w:rPr>
              <w:t>sdt-CB-PreamblesPerSSB-PerSharedRO</w:t>
            </w:r>
            <w:r>
              <w:rPr>
                <w:rFonts w:hint="eastAsia" w:eastAsia="宋体" w:cs="Times New Roman"/>
                <w:i/>
                <w:iCs w:val="0"/>
                <w:sz w:val="20"/>
                <w:szCs w:val="20"/>
                <w:highlight w:val="none"/>
                <w:lang w:val="en-US" w:eastAsia="zh-CN"/>
              </w:rPr>
              <w:t xml:space="preserve"> </w:t>
            </w:r>
            <w:r>
              <w:rPr>
                <w:rFonts w:hint="eastAsia" w:eastAsia="宋体" w:cs="Times New Roman"/>
                <w:i w:val="0"/>
                <w:iCs/>
                <w:sz w:val="20"/>
                <w:szCs w:val="20"/>
                <w:highlight w:val="none"/>
                <w:lang w:val="en-US" w:eastAsia="zh-CN"/>
              </w:rPr>
              <w:t xml:space="preserve">or </w:t>
            </w:r>
            <w:r>
              <w:rPr>
                <w:rFonts w:hint="default" w:ascii="Times New Roman" w:hAnsi="Times New Roman" w:cs="Times New Roman"/>
                <w:i/>
                <w:iCs w:val="0"/>
                <w:sz w:val="20"/>
                <w:szCs w:val="20"/>
                <w:highlight w:val="none"/>
              </w:rPr>
              <w:t>sdt-msgA-CB-PreamblesPerSSB-PerSharedRO</w:t>
            </w:r>
            <w:r>
              <w:rPr>
                <w:rFonts w:hint="eastAsia" w:eastAsia="宋体" w:cs="Times New Roman"/>
                <w:i/>
                <w:iCs w:val="0"/>
                <w:sz w:val="20"/>
                <w:szCs w:val="20"/>
                <w:highlight w:val="none"/>
                <w:lang w:val="en-US" w:eastAsia="zh-CN"/>
              </w:rPr>
              <w:t xml:space="preserve"> </w:t>
            </w:r>
            <w:r>
              <w:rPr>
                <w:rFonts w:hint="eastAsia" w:eastAsia="宋体" w:cs="Times New Roman"/>
                <w:i w:val="0"/>
                <w:iCs/>
                <w:sz w:val="20"/>
                <w:szCs w:val="20"/>
                <w:highlight w:val="none"/>
                <w:lang w:val="en-US" w:eastAsia="zh-CN"/>
              </w:rPr>
              <w:t xml:space="preserve">is replaced by </w:t>
            </w:r>
            <w:r>
              <w:rPr>
                <w:i/>
                <w:iCs/>
              </w:rPr>
              <w:t>numberOfPreamblesForThisPartition-r17</w:t>
            </w:r>
            <w:r>
              <w:rPr>
                <w:rFonts w:hint="eastAsia" w:eastAsia="宋体"/>
                <w:i w:val="0"/>
                <w:iCs w:val="0"/>
                <w:lang w:val="en-US" w:eastAsia="zh-CN"/>
              </w:rPr>
              <w:t xml:space="preserve">. </w:t>
            </w:r>
            <w:r>
              <w:rPr>
                <w:i/>
                <w:iCs/>
                <w:strike w:val="0"/>
                <w:dstrike w:val="0"/>
                <w:color w:val="auto"/>
                <w:shd w:val="clear" w:color="auto" w:fill="FFFFFF"/>
              </w:rPr>
              <w:t>sdt-SSB-SharedRO-MaskIndex</w:t>
            </w:r>
            <w:r>
              <w:rPr>
                <w:rStyle w:val="83"/>
                <w:strike w:val="0"/>
                <w:dstrike w:val="0"/>
                <w:color w:val="auto"/>
                <w:shd w:val="clear" w:color="auto" w:fill="FFFFFF"/>
              </w:rPr>
              <w:t xml:space="preserve"> or </w:t>
            </w:r>
            <w:r>
              <w:rPr>
                <w:i/>
                <w:iCs/>
                <w:strike w:val="0"/>
                <w:dstrike w:val="0"/>
                <w:color w:val="auto"/>
                <w:shd w:val="clear" w:color="auto" w:fill="FFFFFF"/>
              </w:rPr>
              <w:t>sdt-msgA-SSB-SharedRO-MaskIndex</w:t>
            </w:r>
            <w:r>
              <w:rPr>
                <w:rFonts w:hint="eastAsia" w:eastAsia="宋体"/>
                <w:i w:val="0"/>
                <w:iCs w:val="0"/>
                <w:strike w:val="0"/>
                <w:dstrike w:val="0"/>
                <w:color w:val="auto"/>
                <w:shd w:val="clear" w:color="auto" w:fill="FFFFFF"/>
                <w:lang w:val="en-US" w:eastAsia="zh-CN"/>
              </w:rPr>
              <w:t xml:space="preserve"> is replaced by </w:t>
            </w:r>
            <w:r>
              <w:rPr>
                <w:i/>
                <w:iCs/>
              </w:rPr>
              <w:t>ssb-SharedRO-MaskIndex-r17</w:t>
            </w:r>
            <w:r>
              <w:rPr>
                <w:rFonts w:hint="eastAsia" w:eastAsia="宋体"/>
                <w:i/>
                <w:iCs/>
                <w:lang w:val="en-US" w:eastAsia="zh-CN"/>
              </w:rPr>
              <w:t>.</w:t>
            </w:r>
          </w:p>
          <w:p>
            <w:pPr>
              <w:pStyle w:val="137"/>
              <w:widowControl w:val="0"/>
              <w:rPr>
                <w:rFonts w:hint="default" w:eastAsia="宋体"/>
                <w:b/>
                <w:bCs/>
                <w:iCs/>
                <w:color w:val="0070C0"/>
                <w:lang w:val="en-US" w:eastAsia="zh-CN"/>
              </w:rPr>
            </w:pPr>
            <w:r>
              <w:rPr>
                <w:b/>
                <w:i/>
                <w:sz w:val="20"/>
                <w:szCs w:val="20"/>
              </w:rPr>
              <w:t>Consequences if not approved:</w:t>
            </w:r>
            <w:r>
              <w:rPr>
                <w:sz w:val="20"/>
                <w:szCs w:val="20"/>
              </w:rPr>
              <w:t xml:space="preserve"> </w:t>
            </w:r>
            <w:r>
              <w:rPr>
                <w:rFonts w:hint="eastAsia" w:eastAsia="宋体"/>
                <w:sz w:val="20"/>
                <w:szCs w:val="20"/>
                <w:lang w:val="en-US" w:eastAsia="zh-CN"/>
              </w:rPr>
              <w:t>description error and parameter misalignment.</w:t>
            </w:r>
          </w:p>
          <w:p>
            <w:pPr>
              <w:widowControl w:val="0"/>
              <w:spacing w:before="120" w:line="240" w:lineRule="auto"/>
              <w:jc w:val="center"/>
              <w:rPr>
                <w:rFonts w:hint="default"/>
                <w:vertAlign w:val="baseline"/>
                <w:lang w:val="en-US" w:eastAsia="zh-CN"/>
              </w:rPr>
            </w:pPr>
            <w:r>
              <w:rPr>
                <w:b/>
                <w:bCs/>
                <w:iCs/>
                <w:color w:val="0070C0"/>
              </w:rPr>
              <w:t>------------------------------   TS 38.213-----------------------------------</w:t>
            </w:r>
          </w:p>
          <w:p>
            <w:pPr>
              <w:widowControl w:val="0"/>
              <w:spacing w:line="240" w:lineRule="auto"/>
              <w:jc w:val="center"/>
            </w:pPr>
            <w:r>
              <w:rPr>
                <w:b/>
                <w:bCs/>
                <w:color w:val="FF0000"/>
                <w:lang w:eastAsia="zh-CN"/>
              </w:rPr>
              <w:t>&lt; Unchanged text omitted &gt;</w:t>
            </w:r>
          </w:p>
          <w:p>
            <w:pPr>
              <w:pStyle w:val="3"/>
              <w:numPr>
                <w:ilvl w:val="1"/>
                <w:numId w:val="0"/>
              </w:numPr>
              <w:ind w:leftChars="0"/>
            </w:pPr>
            <w:r>
              <w:t>19.2</w:t>
            </w:r>
            <w:r>
              <w:tab/>
            </w:r>
            <w:r>
              <w:t>Random-access based PUSCH transmission</w:t>
            </w:r>
          </w:p>
          <w:p>
            <w:pPr>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rPr>
                <w:lang w:val="en-US"/>
              </w:rP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r>
              <w:rPr>
                <w:iCs/>
              </w:rPr>
              <w:t xml:space="preserve">For a common configuration of PRACH occasions and a Type-1 or a Type-2 random access procedure, a UE can be provided </w:t>
            </w:r>
            <w:r>
              <w:t xml:space="preserve">a number of </w:t>
            </w:r>
            <w:r>
              <w:rPr>
                <w:color w:val="FF0000"/>
              </w:rPr>
              <w:t>contention based preambles per SS/PBCH block index per valid PRACH occasion by</w:t>
            </w:r>
            <w:r>
              <w:rPr>
                <w:rFonts w:hint="eastAsia" w:eastAsia="宋体"/>
                <w:color w:val="FF0000"/>
                <w:lang w:val="en-US" w:eastAsia="zh-CN"/>
              </w:rPr>
              <w:t xml:space="preserve"> </w:t>
            </w:r>
            <w:r>
              <w:rPr>
                <w:i/>
                <w:iCs/>
                <w:color w:val="FF0000"/>
              </w:rPr>
              <w:t>numberOfPreamblesForThisPartition-r17</w:t>
            </w:r>
            <w:r>
              <w:rPr>
                <w:strike/>
                <w:color w:val="FF0000"/>
              </w:rPr>
              <w:t>SS/PBCH block indexes associated with one PRACH occasion by</w:t>
            </w:r>
            <w:r>
              <w:rPr>
                <w:iCs/>
                <w:strike/>
                <w:color w:val="FF0000"/>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lang w:val="en-US"/>
              </w:rPr>
              <w:t>, respectively</w:t>
            </w:r>
            <w:r>
              <w:rPr>
                <w:lang w:val="en-US"/>
              </w:rP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ssb-SharedRO-MaskIndex-r17</w:t>
            </w:r>
            <w:r>
              <w:rPr>
                <w:i/>
                <w:iCs/>
                <w:strike/>
                <w:dstrike w:val="0"/>
                <w:color w:val="FF0000"/>
                <w:shd w:val="clear" w:color="auto" w:fill="FFFFFF"/>
              </w:rPr>
              <w:t>sdt-SSB-SharedRO-MaskIndex</w:t>
            </w:r>
            <w:r>
              <w:rPr>
                <w:rStyle w:val="83"/>
                <w:strike/>
                <w:dstrike w:val="0"/>
                <w:color w:val="FF0000"/>
                <w:shd w:val="clear" w:color="auto" w:fill="FFFFFF"/>
              </w:rPr>
              <w:t xml:space="preserve"> or </w:t>
            </w:r>
            <w:r>
              <w:rPr>
                <w:i/>
                <w:iCs/>
                <w:strike/>
                <w:dstrike w:val="0"/>
                <w:color w:val="FF0000"/>
                <w:shd w:val="clear" w:color="auto" w:fill="FFFFFF"/>
              </w:rPr>
              <w:t>sdt-msgA-SSB-SharedRO-MaskIndex</w:t>
            </w:r>
            <w:r>
              <w:rPr>
                <w:shd w:val="clear" w:color="auto" w:fill="FFFFFF"/>
              </w:rPr>
              <w:t xml:space="preserve"> according to [11, TS 38.321]</w:t>
            </w:r>
            <w:r>
              <w:t xml:space="preserve">. </w:t>
            </w:r>
          </w:p>
          <w:p>
            <w:pPr>
              <w:widowControl w:val="0"/>
              <w:spacing w:line="240" w:lineRule="auto"/>
              <w:jc w:val="center"/>
              <w:rPr>
                <w:lang w:val="en-US" w:eastAsia="zh-CN"/>
              </w:rPr>
            </w:pPr>
            <w:r>
              <w:rPr>
                <w:b/>
                <w:bCs/>
                <w:color w:val="FF0000"/>
                <w:lang w:eastAsia="zh-CN"/>
              </w:rPr>
              <w:t>&lt; Unchanged text omitted &gt;</w:t>
            </w:r>
          </w:p>
        </w:tc>
      </w:tr>
    </w:tbl>
    <w:p>
      <w:pPr>
        <w:rPr>
          <w:rFonts w:hint="default"/>
          <w:lang w:val="en-US" w:eastAsia="zh-CN"/>
        </w:rPr>
      </w:pPr>
    </w:p>
    <w:p>
      <w:pPr>
        <w:pStyle w:val="3"/>
        <w:numPr>
          <w:ilvl w:val="1"/>
          <w:numId w:val="0"/>
        </w:numPr>
        <w:bidi w:val="0"/>
        <w:ind w:leftChars="0"/>
        <w:rPr>
          <w:rFonts w:hint="default"/>
          <w:lang w:val="en-US" w:eastAsia="zh-CN"/>
        </w:rPr>
      </w:pPr>
      <w:r>
        <w:rPr>
          <w:rFonts w:hint="eastAsia"/>
          <w:lang w:val="en-US" w:eastAsia="zh-CN"/>
        </w:rPr>
        <w:t>TP#4</w:t>
      </w:r>
    </w:p>
    <w:tbl>
      <w:tblPr>
        <w:tblStyle w:val="26"/>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137"/>
              <w:widowControl w:val="0"/>
              <w:rPr>
                <w:rFonts w:hint="default" w:eastAsia="宋体"/>
                <w:b/>
                <w:i/>
                <w:sz w:val="20"/>
                <w:szCs w:val="20"/>
                <w:lang w:val="en-US" w:eastAsia="zh-CN"/>
              </w:rPr>
            </w:pPr>
            <w:bookmarkStart w:id="5" w:name="_Toc99993884"/>
            <w:bookmarkStart w:id="6" w:name="_Toc83289645"/>
            <w:r>
              <w:rPr>
                <w:b/>
                <w:i/>
                <w:sz w:val="20"/>
                <w:szCs w:val="20"/>
              </w:rPr>
              <w:t>Reason for change:</w:t>
            </w:r>
            <w:r>
              <w:rPr>
                <w:b w:val="0"/>
                <w:bCs/>
                <w:i w:val="0"/>
                <w:iCs/>
                <w:sz w:val="20"/>
                <w:szCs w:val="20"/>
              </w:rPr>
              <w:t xml:space="preserve"> </w:t>
            </w:r>
            <w:r>
              <w:rPr>
                <w:rFonts w:hint="default" w:ascii="Times New Roman" w:hAnsi="Times New Roman" w:cs="Times New Roman"/>
                <w:i/>
                <w:iCs/>
                <w:sz w:val="20"/>
                <w:szCs w:val="20"/>
                <w:lang w:val="en-US" w:eastAsia="zh-CN"/>
              </w:rPr>
              <w:t>sdt-CG-SearchSpace</w:t>
            </w:r>
            <w:r>
              <w:rPr>
                <w:rFonts w:hint="eastAsia" w:cs="Times New Roman"/>
                <w:i/>
                <w:iCs/>
                <w:sz w:val="20"/>
                <w:szCs w:val="20"/>
                <w:lang w:val="en-US" w:eastAsia="zh-CN"/>
              </w:rPr>
              <w:t xml:space="preserve"> </w:t>
            </w:r>
            <w:r>
              <w:rPr>
                <w:rFonts w:hint="eastAsia" w:cs="Times New Roman"/>
                <w:i w:val="0"/>
                <w:iCs w:val="0"/>
                <w:sz w:val="20"/>
                <w:szCs w:val="20"/>
                <w:lang w:val="en-US" w:eastAsia="zh-CN"/>
              </w:rPr>
              <w:t>i</w:t>
            </w:r>
            <w:r>
              <w:rPr>
                <w:rFonts w:hint="eastAsia" w:eastAsia="宋体"/>
                <w:b w:val="0"/>
                <w:bCs/>
                <w:i w:val="0"/>
                <w:iCs/>
                <w:sz w:val="20"/>
                <w:szCs w:val="20"/>
                <w:lang w:val="en-US" w:eastAsia="zh-CN"/>
              </w:rPr>
              <w:t>s not defined in TS 38.331.</w:t>
            </w:r>
          </w:p>
          <w:p>
            <w:pPr>
              <w:pStyle w:val="137"/>
              <w:widowControl w:val="0"/>
              <w:rPr>
                <w:rFonts w:hint="default" w:eastAsia="宋体"/>
                <w:sz w:val="20"/>
                <w:szCs w:val="20"/>
                <w:lang w:val="en-US" w:eastAsia="zh-CN"/>
              </w:rPr>
            </w:pPr>
            <w:r>
              <w:rPr>
                <w:b/>
                <w:i/>
                <w:sz w:val="20"/>
                <w:szCs w:val="20"/>
              </w:rPr>
              <w:t>Summary of change:</w:t>
            </w:r>
            <w:r>
              <w:rPr>
                <w:sz w:val="20"/>
                <w:szCs w:val="20"/>
              </w:rPr>
              <w:t xml:space="preserve"> </w:t>
            </w:r>
            <w:r>
              <w:rPr>
                <w:rFonts w:hint="eastAsia" w:eastAsia="宋体"/>
                <w:sz w:val="20"/>
                <w:szCs w:val="20"/>
                <w:lang w:val="en-US" w:eastAsia="zh-CN"/>
              </w:rPr>
              <w:t xml:space="preserve">in the section 10.1, the bullet including </w:t>
            </w:r>
            <w:r>
              <w:rPr>
                <w:rFonts w:hint="default" w:ascii="Times New Roman" w:hAnsi="Times New Roman" w:cs="Times New Roman"/>
                <w:i/>
                <w:iCs/>
                <w:sz w:val="20"/>
                <w:szCs w:val="20"/>
                <w:lang w:val="en-US" w:eastAsia="zh-CN"/>
              </w:rPr>
              <w:t>sdt-CG-SearchSpace</w:t>
            </w:r>
            <w:r>
              <w:rPr>
                <w:rFonts w:hint="eastAsia" w:cs="Times New Roman"/>
                <w:i/>
                <w:iCs/>
                <w:sz w:val="20"/>
                <w:szCs w:val="20"/>
                <w:lang w:val="en-US" w:eastAsia="zh-CN"/>
              </w:rPr>
              <w:t xml:space="preserve"> </w:t>
            </w:r>
            <w:r>
              <w:rPr>
                <w:rFonts w:hint="eastAsia" w:cs="Times New Roman"/>
                <w:i w:val="0"/>
                <w:iCs w:val="0"/>
                <w:sz w:val="20"/>
                <w:szCs w:val="20"/>
                <w:lang w:val="en-US" w:eastAsia="zh-CN"/>
              </w:rPr>
              <w:t>i</w:t>
            </w:r>
            <w:r>
              <w:rPr>
                <w:rFonts w:hint="eastAsia" w:eastAsia="宋体"/>
                <w:b w:val="0"/>
                <w:bCs/>
                <w:i w:val="0"/>
                <w:iCs/>
                <w:sz w:val="20"/>
                <w:szCs w:val="20"/>
                <w:lang w:val="en-US" w:eastAsia="zh-CN"/>
              </w:rPr>
              <w:t xml:space="preserve">s removed. In the section 19.1, </w:t>
            </w:r>
            <w:r>
              <w:rPr>
                <w:rFonts w:hint="default" w:ascii="Times New Roman" w:hAnsi="Times New Roman" w:cs="Times New Roman"/>
                <w:i/>
                <w:iCs/>
                <w:sz w:val="20"/>
                <w:szCs w:val="20"/>
                <w:lang w:val="en-US" w:eastAsia="zh-CN"/>
              </w:rPr>
              <w:t>sdt-CG-SearchSpace</w:t>
            </w:r>
            <w:r>
              <w:rPr>
                <w:rFonts w:hint="eastAsia" w:cs="Times New Roman"/>
                <w:i/>
                <w:iCs/>
                <w:sz w:val="20"/>
                <w:szCs w:val="20"/>
                <w:lang w:val="en-US" w:eastAsia="zh-CN"/>
              </w:rPr>
              <w:t xml:space="preserve"> </w:t>
            </w:r>
            <w:r>
              <w:rPr>
                <w:rFonts w:hint="eastAsia" w:cs="Times New Roman"/>
                <w:i w:val="0"/>
                <w:iCs w:val="0"/>
                <w:sz w:val="20"/>
                <w:szCs w:val="20"/>
                <w:lang w:val="en-US" w:eastAsia="zh-CN"/>
              </w:rPr>
              <w:t>i</w:t>
            </w:r>
            <w:r>
              <w:rPr>
                <w:rFonts w:hint="eastAsia" w:eastAsia="宋体"/>
                <w:b w:val="0"/>
                <w:bCs/>
                <w:i w:val="0"/>
                <w:iCs/>
                <w:sz w:val="20"/>
                <w:szCs w:val="20"/>
                <w:lang w:val="en-US" w:eastAsia="zh-CN"/>
              </w:rPr>
              <w:t>s removed.</w:t>
            </w:r>
          </w:p>
          <w:p>
            <w:pPr>
              <w:pStyle w:val="137"/>
              <w:widowControl w:val="0"/>
              <w:rPr>
                <w:rFonts w:hint="default"/>
                <w:b/>
                <w:bCs/>
                <w:iCs/>
                <w:color w:val="0070C0"/>
                <w:lang w:val="en-US"/>
              </w:rPr>
            </w:pPr>
            <w:r>
              <w:rPr>
                <w:b/>
                <w:i/>
                <w:sz w:val="20"/>
                <w:szCs w:val="20"/>
              </w:rPr>
              <w:t>Consequences if not approved:</w:t>
            </w:r>
            <w:r>
              <w:rPr>
                <w:sz w:val="20"/>
                <w:szCs w:val="20"/>
              </w:rPr>
              <w:t xml:space="preserve"> </w:t>
            </w:r>
            <w:r>
              <w:rPr>
                <w:rFonts w:hint="default" w:ascii="Times New Roman" w:hAnsi="Times New Roman" w:cs="Times New Roman"/>
                <w:i/>
                <w:iCs/>
                <w:sz w:val="20"/>
                <w:szCs w:val="20"/>
                <w:lang w:val="en-US" w:eastAsia="zh-CN"/>
              </w:rPr>
              <w:t>sdt-CG-SearchSpace</w:t>
            </w:r>
            <w:r>
              <w:rPr>
                <w:rFonts w:hint="eastAsia" w:cs="Times New Roman"/>
                <w:i/>
                <w:iCs/>
                <w:sz w:val="20"/>
                <w:szCs w:val="20"/>
                <w:lang w:val="en-US" w:eastAsia="zh-CN"/>
              </w:rPr>
              <w:t xml:space="preserve"> </w:t>
            </w:r>
            <w:r>
              <w:rPr>
                <w:rFonts w:hint="eastAsia" w:cs="Times New Roman"/>
                <w:i w:val="0"/>
                <w:iCs w:val="0"/>
                <w:sz w:val="20"/>
                <w:szCs w:val="20"/>
                <w:lang w:val="en-US" w:eastAsia="zh-CN"/>
              </w:rPr>
              <w:t>is not found in TS 38.331.</w:t>
            </w:r>
          </w:p>
          <w:p>
            <w:pPr>
              <w:widowControl w:val="0"/>
              <w:spacing w:before="120" w:line="240" w:lineRule="auto"/>
              <w:jc w:val="center"/>
              <w:rPr>
                <w:b/>
                <w:bCs/>
                <w:iCs/>
                <w:color w:val="0070C0"/>
              </w:rPr>
            </w:pPr>
            <w:r>
              <w:rPr>
                <w:b/>
                <w:bCs/>
                <w:iCs/>
                <w:color w:val="0070C0"/>
              </w:rPr>
              <w:t>------------------------------   TS 38.213-----------------------------------</w:t>
            </w:r>
          </w:p>
          <w:p>
            <w:pPr>
              <w:widowControl w:val="0"/>
              <w:spacing w:line="240" w:lineRule="auto"/>
              <w:jc w:val="center"/>
              <w:rPr>
                <w:rFonts w:hint="default"/>
                <w:b/>
                <w:bCs/>
                <w:iCs/>
                <w:color w:val="0070C0"/>
                <w:lang w:val="en-US" w:eastAsia="zh-CN"/>
              </w:rPr>
            </w:pPr>
            <w:r>
              <w:rPr>
                <w:b/>
                <w:bCs/>
                <w:color w:val="FF0000"/>
                <w:lang w:eastAsia="zh-CN"/>
              </w:rPr>
              <w:t>&lt; Unchanged text omitted &gt;</w:t>
            </w:r>
          </w:p>
          <w:p>
            <w:pPr>
              <w:pStyle w:val="3"/>
              <w:numPr>
                <w:ilvl w:val="1"/>
                <w:numId w:val="0"/>
              </w:numPr>
              <w:ind w:leftChars="0"/>
            </w:pPr>
            <w:bookmarkStart w:id="7" w:name="_Toc36498186"/>
            <w:bookmarkStart w:id="8" w:name="_Toc20311598"/>
            <w:bookmarkStart w:id="9" w:name="_Toc29899157"/>
            <w:bookmarkStart w:id="10" w:name="_Toc99993834"/>
            <w:bookmarkStart w:id="11" w:name="_Toc29894858"/>
            <w:bookmarkStart w:id="12" w:name="_Toc12021486"/>
            <w:bookmarkStart w:id="13" w:name="_Toc29917312"/>
            <w:bookmarkStart w:id="14" w:name="_Toc29899575"/>
            <w:bookmarkStart w:id="15" w:name="_Toc45699213"/>
            <w:bookmarkStart w:id="16" w:name="_Toc26719423"/>
            <w:bookmarkStart w:id="17" w:name="_Ref491451763"/>
            <w:bookmarkStart w:id="18" w:name="_Ref491466492"/>
            <w:r>
              <w:t>10</w:t>
            </w:r>
            <w:r>
              <w:rPr>
                <w:rFonts w:hint="eastAsia"/>
              </w:rPr>
              <w:t>.1</w:t>
            </w:r>
            <w:r>
              <w:rPr>
                <w:rFonts w:hint="eastAsia"/>
              </w:rPr>
              <w:tab/>
            </w:r>
            <w:r>
              <w:t>UE procedure for determining physical downlink control channel assignment</w:t>
            </w:r>
            <w:bookmarkEnd w:id="7"/>
            <w:bookmarkEnd w:id="8"/>
            <w:bookmarkEnd w:id="9"/>
            <w:bookmarkEnd w:id="10"/>
            <w:bookmarkEnd w:id="11"/>
            <w:bookmarkEnd w:id="12"/>
            <w:bookmarkEnd w:id="13"/>
            <w:bookmarkEnd w:id="14"/>
            <w:bookmarkEnd w:id="15"/>
            <w:bookmarkEnd w:id="16"/>
            <w:r>
              <w:t xml:space="preserve"> </w:t>
            </w:r>
            <w:bookmarkEnd w:id="17"/>
            <w:bookmarkEnd w:id="18"/>
          </w:p>
          <w:p>
            <w:pPr>
              <w:widowControl w:val="0"/>
              <w:spacing w:line="240" w:lineRule="auto"/>
              <w:jc w:val="center"/>
            </w:pPr>
            <w:r>
              <w:rPr>
                <w:b/>
                <w:bCs/>
                <w:color w:val="FF0000"/>
                <w:lang w:eastAsia="zh-CN"/>
              </w:rPr>
              <w:t>&lt; Unchanged text omitted &gt;</w:t>
            </w:r>
          </w:p>
          <w:p>
            <w:pPr>
              <w:pStyle w:val="51"/>
              <w:rPr>
                <w:lang w:val="en-US" w:eastAsia="zh-CN"/>
              </w:rPr>
            </w:pPr>
            <w:r>
              <w:t>-</w:t>
            </w:r>
            <w:r>
              <w:tab/>
            </w:r>
            <w:r>
              <w:t xml:space="preserve">a USS </w:t>
            </w:r>
            <w:r>
              <w:rPr>
                <w:lang w:val="en-US"/>
              </w:rPr>
              <w:t xml:space="preserve">set </w:t>
            </w:r>
            <w:r>
              <w:rPr>
                <w:lang w:val="en-US" w:eastAsia="zh-CN"/>
              </w:rPr>
              <w:t xml:space="preserve">configured by </w:t>
            </w:r>
          </w:p>
          <w:p>
            <w:pPr>
              <w:pStyle w:val="58"/>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r>
              <w:rPr>
                <w:lang w:val="en-US"/>
              </w:rPr>
              <w:t xml:space="preserve">, or </w:t>
            </w:r>
          </w:p>
          <w:p>
            <w:pPr>
              <w:pStyle w:val="58"/>
              <w:rPr>
                <w:strike/>
                <w:color w:val="FF0000"/>
              </w:rPr>
            </w:pPr>
            <w:r>
              <w:rPr>
                <w:strike/>
                <w:color w:val="FF0000"/>
                <w:lang w:val="en-US" w:eastAsia="zh-CN"/>
              </w:rPr>
              <w:t>-</w:t>
            </w:r>
            <w:r>
              <w:rPr>
                <w:strike/>
                <w:color w:val="FF0000"/>
                <w:lang w:val="en-US" w:eastAsia="zh-CN"/>
              </w:rPr>
              <w:tab/>
            </w:r>
            <w:r>
              <w:rPr>
                <w:i/>
                <w:iCs/>
                <w:strike/>
                <w:color w:val="FF0000"/>
                <w:lang w:val="en-US" w:eastAsia="zh-CN"/>
              </w:rPr>
              <w:t>sdt-CG-SearchSpace</w:t>
            </w:r>
            <w:r>
              <w:rPr>
                <w:strike/>
                <w:color w:val="FF0000"/>
              </w:rPr>
              <w:t xml:space="preserve"> for DCI format</w:t>
            </w:r>
            <w:r>
              <w:rPr>
                <w:strike/>
                <w:color w:val="FF0000"/>
                <w:lang w:val="en-US"/>
              </w:rPr>
              <w:t>s</w:t>
            </w:r>
            <w:r>
              <w:rPr>
                <w:strike/>
                <w:color w:val="FF0000"/>
              </w:rPr>
              <w:t xml:space="preserve"> with CRC scrambled by C-RNTI</w:t>
            </w:r>
            <w:r>
              <w:rPr>
                <w:strike/>
                <w:color w:val="FF0000"/>
                <w:lang w:val="en-US"/>
              </w:rPr>
              <w:t xml:space="preserve"> or </w:t>
            </w:r>
            <w:r>
              <w:rPr>
                <w:strike/>
                <w:color w:val="FF0000"/>
              </w:rPr>
              <w:t>CS-RNTI</w:t>
            </w:r>
            <w:r>
              <w:rPr>
                <w:strike/>
                <w:color w:val="FF0000"/>
                <w:lang w:val="en-US"/>
              </w:rPr>
              <w:t xml:space="preserve"> as described in clause 19.1</w:t>
            </w:r>
            <w:r>
              <w:rPr>
                <w:strike/>
                <w:color w:val="FF0000"/>
              </w:rPr>
              <w:t>.</w:t>
            </w:r>
          </w:p>
          <w:p>
            <w:pPr>
              <w:widowControl w:val="0"/>
              <w:spacing w:line="240" w:lineRule="auto"/>
              <w:jc w:val="center"/>
            </w:pPr>
            <w:r>
              <w:rPr>
                <w:b/>
                <w:bCs/>
                <w:color w:val="FF0000"/>
                <w:lang w:eastAsia="zh-CN"/>
              </w:rPr>
              <w:t>&lt; Unchanged text omitted &gt;</w:t>
            </w:r>
          </w:p>
          <w:p/>
          <w:p>
            <w:pPr>
              <w:pStyle w:val="3"/>
              <w:numPr>
                <w:ilvl w:val="1"/>
                <w:numId w:val="0"/>
              </w:numPr>
              <w:ind w:leftChars="0"/>
            </w:pPr>
            <w:r>
              <w:t>19.1</w:t>
            </w:r>
            <w:r>
              <w:tab/>
            </w:r>
            <w:r>
              <w:t>Configured-grant based PUSCH transmission</w:t>
            </w:r>
            <w:bookmarkEnd w:id="5"/>
            <w:bookmarkEnd w:id="6"/>
          </w:p>
          <w:p>
            <w:pPr>
              <w:widowControl w:val="0"/>
              <w:spacing w:line="240" w:lineRule="auto"/>
              <w:jc w:val="center"/>
              <w:rPr>
                <w:iCs/>
              </w:rPr>
            </w:pPr>
            <w:r>
              <w:rPr>
                <w:b/>
                <w:bCs/>
                <w:color w:val="FF0000"/>
                <w:lang w:eastAsia="zh-CN"/>
              </w:rPr>
              <w:t>&lt; Unchanged text omitted &gt;</w:t>
            </w:r>
          </w:p>
          <w:p>
            <w:r>
              <w:rPr>
                <w:iCs/>
              </w:rPr>
              <w:t>A UE can be provided a USS set</w:t>
            </w:r>
            <w:r>
              <w:rPr>
                <w:iCs/>
                <w:strike/>
                <w:dstrike w:val="0"/>
                <w:color w:val="FF0000"/>
              </w:rPr>
              <w:t xml:space="preserve"> by</w:t>
            </w:r>
            <w:r>
              <w:rPr>
                <w:strike/>
                <w:dstrike w:val="0"/>
                <w:color w:val="FF0000"/>
                <w:lang w:val="en-US" w:eastAsia="zh-CN"/>
              </w:rPr>
              <w:t xml:space="preserve"> </w:t>
            </w:r>
            <w:r>
              <w:rPr>
                <w:i/>
                <w:iCs/>
                <w:strike/>
                <w:dstrike w:val="0"/>
                <w:color w:val="FF0000"/>
                <w:lang w:val="en-US" w:eastAsia="zh-CN"/>
              </w:rPr>
              <w:t>sdt-CG-SearchSpace</w:t>
            </w:r>
            <w:r>
              <w:rPr>
                <w:lang w:val="en-US" w:eastAsia="zh-CN"/>
              </w:rPr>
              <w:t xml:space="preserve">, or a CSS set by </w:t>
            </w:r>
            <w:r>
              <w:rPr>
                <w:i/>
                <w:iCs/>
                <w:lang w:val="en-US" w:eastAsia="zh-CN"/>
              </w:rPr>
              <w:t>sdt-SearchSpace</w:t>
            </w:r>
            <w:r>
              <w:rPr>
                <w:lang w:val="en-US"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spacing w:line="240" w:lineRule="auto"/>
              <w:jc w:val="center"/>
              <w:rPr>
                <w:lang w:val="en-US" w:eastAsia="zh-CN"/>
              </w:rPr>
            </w:pPr>
            <w:r>
              <w:rPr>
                <w:b/>
                <w:bCs/>
                <w:color w:val="FF0000"/>
                <w:lang w:eastAsia="zh-CN"/>
              </w:rPr>
              <w:t>&lt; Unchanged text omitted &gt;</w:t>
            </w:r>
          </w:p>
        </w:tc>
      </w:tr>
    </w:tbl>
    <w:p>
      <w:pPr>
        <w:widowControl w:val="0"/>
        <w:numPr>
          <w:ilvl w:val="255"/>
          <w:numId w:val="0"/>
        </w:numPr>
        <w:autoSpaceDE w:val="0"/>
        <w:autoSpaceDN w:val="0"/>
        <w:adjustRightInd w:val="0"/>
        <w:spacing w:before="120" w:beforeLines="50" w:after="120" w:afterLines="5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A7F03C"/>
    <w:multiLevelType w:val="multilevel"/>
    <w:tmpl w:val="BFA7F03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7">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0">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8"/>
  </w:num>
  <w:num w:numId="4">
    <w:abstractNumId w:val="10"/>
  </w:num>
  <w:num w:numId="5">
    <w:abstractNumId w:val="4"/>
  </w:num>
  <w:num w:numId="6">
    <w:abstractNumId w:val="7"/>
  </w:num>
  <w:num w:numId="7">
    <w:abstractNumId w:val="5"/>
  </w:num>
  <w:num w:numId="8">
    <w:abstractNumId w:val="2"/>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54A"/>
    <w:rsid w:val="0000669D"/>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70"/>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A3"/>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B84"/>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2F36"/>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C62"/>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EEE"/>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66"/>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2F5F"/>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4C88"/>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DAC"/>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4BA3"/>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0D"/>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1E8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A21"/>
    <w:rsid w:val="00170B84"/>
    <w:rsid w:val="00170C56"/>
    <w:rsid w:val="00170C7B"/>
    <w:rsid w:val="00170CA1"/>
    <w:rsid w:val="001710F7"/>
    <w:rsid w:val="00171F12"/>
    <w:rsid w:val="00171FF7"/>
    <w:rsid w:val="00172A27"/>
    <w:rsid w:val="00172BE0"/>
    <w:rsid w:val="00172CD0"/>
    <w:rsid w:val="00173055"/>
    <w:rsid w:val="0017312E"/>
    <w:rsid w:val="00173286"/>
    <w:rsid w:val="0017339E"/>
    <w:rsid w:val="00173A00"/>
    <w:rsid w:val="00173DF2"/>
    <w:rsid w:val="00174226"/>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DBD"/>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07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8AE"/>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27E"/>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5BF7"/>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5DA8"/>
    <w:rsid w:val="002F6317"/>
    <w:rsid w:val="002F6373"/>
    <w:rsid w:val="002F6530"/>
    <w:rsid w:val="002F66C8"/>
    <w:rsid w:val="002F673B"/>
    <w:rsid w:val="002F6FBC"/>
    <w:rsid w:val="002F7182"/>
    <w:rsid w:val="002F78F1"/>
    <w:rsid w:val="002F7921"/>
    <w:rsid w:val="002F7A07"/>
    <w:rsid w:val="002F7CAE"/>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CAA"/>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1D0"/>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AB6"/>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05A"/>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5B3"/>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9BB"/>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893"/>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4D0"/>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4FD"/>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42F"/>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4F80"/>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A78"/>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CE0"/>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BB"/>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42A"/>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09"/>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3D36"/>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6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12"/>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AC9"/>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17B7A"/>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102"/>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6"/>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1D3"/>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65A"/>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2B"/>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B06"/>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668"/>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185"/>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3F"/>
    <w:rsid w:val="00823AA5"/>
    <w:rsid w:val="00823ABE"/>
    <w:rsid w:val="00823C99"/>
    <w:rsid w:val="00823DCC"/>
    <w:rsid w:val="008245E2"/>
    <w:rsid w:val="008247DC"/>
    <w:rsid w:val="008251DF"/>
    <w:rsid w:val="008253F2"/>
    <w:rsid w:val="00825503"/>
    <w:rsid w:val="00825591"/>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969"/>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BF4"/>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C15"/>
    <w:rsid w:val="00872045"/>
    <w:rsid w:val="008721BA"/>
    <w:rsid w:val="008722FC"/>
    <w:rsid w:val="008725C1"/>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DDB"/>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1AA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7C4"/>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6FE"/>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3A2"/>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58A"/>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4CD4"/>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142"/>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6BA"/>
    <w:rsid w:val="009D5726"/>
    <w:rsid w:val="009D58BF"/>
    <w:rsid w:val="009D5981"/>
    <w:rsid w:val="009D5B8C"/>
    <w:rsid w:val="009D5C4E"/>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B0C"/>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9F0"/>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5D82"/>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DA0"/>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346"/>
    <w:rsid w:val="00AD548B"/>
    <w:rsid w:val="00AD590F"/>
    <w:rsid w:val="00AD5BFA"/>
    <w:rsid w:val="00AD6516"/>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623"/>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453"/>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14C"/>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0B6"/>
    <w:rsid w:val="00B57429"/>
    <w:rsid w:val="00B5791C"/>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3DF"/>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1FC6"/>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8CB"/>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49"/>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6E5"/>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089"/>
    <w:rsid w:val="00C74471"/>
    <w:rsid w:val="00C7471C"/>
    <w:rsid w:val="00C749B9"/>
    <w:rsid w:val="00C754C2"/>
    <w:rsid w:val="00C75ABC"/>
    <w:rsid w:val="00C75BC4"/>
    <w:rsid w:val="00C760E7"/>
    <w:rsid w:val="00C7647A"/>
    <w:rsid w:val="00C766E2"/>
    <w:rsid w:val="00C76DC0"/>
    <w:rsid w:val="00C76EC2"/>
    <w:rsid w:val="00C770D1"/>
    <w:rsid w:val="00C773DC"/>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98F"/>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793"/>
    <w:rsid w:val="00C92940"/>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B54"/>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087"/>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487"/>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14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0F56"/>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BB8"/>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D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5A4"/>
    <w:rsid w:val="00DA76C7"/>
    <w:rsid w:val="00DA78E2"/>
    <w:rsid w:val="00DB0D64"/>
    <w:rsid w:val="00DB0E1B"/>
    <w:rsid w:val="00DB0FCE"/>
    <w:rsid w:val="00DB1083"/>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47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0D"/>
    <w:rsid w:val="00DD39F1"/>
    <w:rsid w:val="00DD3A4D"/>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F97"/>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B7F"/>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6F41"/>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266"/>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A7DC0"/>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5"/>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9EE"/>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3E72"/>
    <w:rsid w:val="00F64135"/>
    <w:rsid w:val="00F64192"/>
    <w:rsid w:val="00F648AE"/>
    <w:rsid w:val="00F649E4"/>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57"/>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2F3"/>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6E9"/>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46DFB"/>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84B86"/>
    <w:rsid w:val="02CA430B"/>
    <w:rsid w:val="02CB0E36"/>
    <w:rsid w:val="02CD5F75"/>
    <w:rsid w:val="02D8254A"/>
    <w:rsid w:val="02E07B7E"/>
    <w:rsid w:val="02EB17D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575E2"/>
    <w:rsid w:val="039C4271"/>
    <w:rsid w:val="039F00BC"/>
    <w:rsid w:val="03A0019E"/>
    <w:rsid w:val="03A80B76"/>
    <w:rsid w:val="03A870A7"/>
    <w:rsid w:val="03AC7855"/>
    <w:rsid w:val="03B005F4"/>
    <w:rsid w:val="03B074EB"/>
    <w:rsid w:val="03B76952"/>
    <w:rsid w:val="03BA1E8C"/>
    <w:rsid w:val="03CE0CA4"/>
    <w:rsid w:val="03CF2B82"/>
    <w:rsid w:val="03E0522E"/>
    <w:rsid w:val="03E41614"/>
    <w:rsid w:val="03EA1032"/>
    <w:rsid w:val="03EA71CD"/>
    <w:rsid w:val="03F65997"/>
    <w:rsid w:val="03F719F0"/>
    <w:rsid w:val="0402540B"/>
    <w:rsid w:val="04054F36"/>
    <w:rsid w:val="04066AB8"/>
    <w:rsid w:val="040C2451"/>
    <w:rsid w:val="040D005C"/>
    <w:rsid w:val="040F1FD0"/>
    <w:rsid w:val="041162ED"/>
    <w:rsid w:val="041562A8"/>
    <w:rsid w:val="0418212D"/>
    <w:rsid w:val="041A2D84"/>
    <w:rsid w:val="041A6AB4"/>
    <w:rsid w:val="041C18EE"/>
    <w:rsid w:val="041D3FE2"/>
    <w:rsid w:val="04210D8C"/>
    <w:rsid w:val="04253B54"/>
    <w:rsid w:val="04260CC0"/>
    <w:rsid w:val="043010F4"/>
    <w:rsid w:val="04364A60"/>
    <w:rsid w:val="043815C4"/>
    <w:rsid w:val="043B501A"/>
    <w:rsid w:val="04484F54"/>
    <w:rsid w:val="044C44B7"/>
    <w:rsid w:val="0456270E"/>
    <w:rsid w:val="045857E3"/>
    <w:rsid w:val="04586E3A"/>
    <w:rsid w:val="045D7B5C"/>
    <w:rsid w:val="04643D2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4F92187"/>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8B0E30"/>
    <w:rsid w:val="05980A73"/>
    <w:rsid w:val="059D34CA"/>
    <w:rsid w:val="05AA5752"/>
    <w:rsid w:val="05B92FBE"/>
    <w:rsid w:val="05BC14EA"/>
    <w:rsid w:val="05D94EBE"/>
    <w:rsid w:val="05DE4683"/>
    <w:rsid w:val="05DF3F1B"/>
    <w:rsid w:val="05E21FDD"/>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67F55"/>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3157F"/>
    <w:rsid w:val="07AC7E7C"/>
    <w:rsid w:val="07B34910"/>
    <w:rsid w:val="07BB7897"/>
    <w:rsid w:val="07C76AEB"/>
    <w:rsid w:val="07CE47C1"/>
    <w:rsid w:val="07D51413"/>
    <w:rsid w:val="07D62B24"/>
    <w:rsid w:val="07D81AC3"/>
    <w:rsid w:val="07E21F7B"/>
    <w:rsid w:val="07E74464"/>
    <w:rsid w:val="07EA26C1"/>
    <w:rsid w:val="07F96D96"/>
    <w:rsid w:val="080279D2"/>
    <w:rsid w:val="082A456C"/>
    <w:rsid w:val="08337F1B"/>
    <w:rsid w:val="083B21D6"/>
    <w:rsid w:val="08426FAC"/>
    <w:rsid w:val="08465770"/>
    <w:rsid w:val="084745D0"/>
    <w:rsid w:val="08476D2A"/>
    <w:rsid w:val="084A42E3"/>
    <w:rsid w:val="084D185F"/>
    <w:rsid w:val="084E1A17"/>
    <w:rsid w:val="085E6A73"/>
    <w:rsid w:val="085F44B3"/>
    <w:rsid w:val="0862758A"/>
    <w:rsid w:val="086A574E"/>
    <w:rsid w:val="08792428"/>
    <w:rsid w:val="087945D7"/>
    <w:rsid w:val="087E66D2"/>
    <w:rsid w:val="08807319"/>
    <w:rsid w:val="088D20F7"/>
    <w:rsid w:val="088E6842"/>
    <w:rsid w:val="08937905"/>
    <w:rsid w:val="08AA4464"/>
    <w:rsid w:val="08B20EA3"/>
    <w:rsid w:val="08B438CC"/>
    <w:rsid w:val="08B574EC"/>
    <w:rsid w:val="08B57F92"/>
    <w:rsid w:val="08C447CA"/>
    <w:rsid w:val="08C96165"/>
    <w:rsid w:val="08CC26E6"/>
    <w:rsid w:val="08CE2E9E"/>
    <w:rsid w:val="08E279FE"/>
    <w:rsid w:val="08E469B2"/>
    <w:rsid w:val="08E539A8"/>
    <w:rsid w:val="08E64959"/>
    <w:rsid w:val="08F4741A"/>
    <w:rsid w:val="08FF3E43"/>
    <w:rsid w:val="09031D10"/>
    <w:rsid w:val="09074481"/>
    <w:rsid w:val="09120E77"/>
    <w:rsid w:val="09134CB1"/>
    <w:rsid w:val="09275714"/>
    <w:rsid w:val="092C5904"/>
    <w:rsid w:val="093120ED"/>
    <w:rsid w:val="09340639"/>
    <w:rsid w:val="093D3124"/>
    <w:rsid w:val="094077F0"/>
    <w:rsid w:val="09432E72"/>
    <w:rsid w:val="094511B3"/>
    <w:rsid w:val="094919BC"/>
    <w:rsid w:val="094A7D58"/>
    <w:rsid w:val="09552E33"/>
    <w:rsid w:val="0955421C"/>
    <w:rsid w:val="09566CA4"/>
    <w:rsid w:val="0957292F"/>
    <w:rsid w:val="095C0D34"/>
    <w:rsid w:val="09736BC3"/>
    <w:rsid w:val="0974287E"/>
    <w:rsid w:val="097F7C6A"/>
    <w:rsid w:val="09832AAA"/>
    <w:rsid w:val="09876497"/>
    <w:rsid w:val="098B7640"/>
    <w:rsid w:val="098F1481"/>
    <w:rsid w:val="09904C1A"/>
    <w:rsid w:val="09955A9D"/>
    <w:rsid w:val="099F5C87"/>
    <w:rsid w:val="09A56B2B"/>
    <w:rsid w:val="09A918FF"/>
    <w:rsid w:val="09AF29E2"/>
    <w:rsid w:val="09B801CE"/>
    <w:rsid w:val="09B93200"/>
    <w:rsid w:val="09DF01A9"/>
    <w:rsid w:val="09DF4DE6"/>
    <w:rsid w:val="09E846EA"/>
    <w:rsid w:val="09E93C00"/>
    <w:rsid w:val="09F31F86"/>
    <w:rsid w:val="09F3224C"/>
    <w:rsid w:val="09F5356A"/>
    <w:rsid w:val="09F756A5"/>
    <w:rsid w:val="09FA6338"/>
    <w:rsid w:val="09FB5032"/>
    <w:rsid w:val="0A007FB9"/>
    <w:rsid w:val="0A0248E2"/>
    <w:rsid w:val="0A197D7E"/>
    <w:rsid w:val="0A260017"/>
    <w:rsid w:val="0A2C0D1F"/>
    <w:rsid w:val="0A2E3537"/>
    <w:rsid w:val="0A350A2E"/>
    <w:rsid w:val="0A44449B"/>
    <w:rsid w:val="0A4E6784"/>
    <w:rsid w:val="0A55649C"/>
    <w:rsid w:val="0A5D5C23"/>
    <w:rsid w:val="0A613380"/>
    <w:rsid w:val="0A68565C"/>
    <w:rsid w:val="0A6E2940"/>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120"/>
    <w:rsid w:val="0AEA5FE2"/>
    <w:rsid w:val="0AF456BE"/>
    <w:rsid w:val="0AFF24CE"/>
    <w:rsid w:val="0B0234A6"/>
    <w:rsid w:val="0B1357F6"/>
    <w:rsid w:val="0B1543BB"/>
    <w:rsid w:val="0B215E24"/>
    <w:rsid w:val="0B241844"/>
    <w:rsid w:val="0B257548"/>
    <w:rsid w:val="0B2920B8"/>
    <w:rsid w:val="0B3A199B"/>
    <w:rsid w:val="0B420FE1"/>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C613D"/>
    <w:rsid w:val="0C8F5033"/>
    <w:rsid w:val="0C923DBE"/>
    <w:rsid w:val="0C92626A"/>
    <w:rsid w:val="0C936876"/>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CF05A35"/>
    <w:rsid w:val="0D02400E"/>
    <w:rsid w:val="0D02469A"/>
    <w:rsid w:val="0D0C6566"/>
    <w:rsid w:val="0D1536F1"/>
    <w:rsid w:val="0D1E5FB2"/>
    <w:rsid w:val="0D204BC7"/>
    <w:rsid w:val="0D22309C"/>
    <w:rsid w:val="0D232014"/>
    <w:rsid w:val="0D276A0D"/>
    <w:rsid w:val="0D2B3E5D"/>
    <w:rsid w:val="0D397B87"/>
    <w:rsid w:val="0D3F3BA7"/>
    <w:rsid w:val="0D480593"/>
    <w:rsid w:val="0D4C56D2"/>
    <w:rsid w:val="0D6F7C7F"/>
    <w:rsid w:val="0D727EA8"/>
    <w:rsid w:val="0D731A52"/>
    <w:rsid w:val="0D7423B9"/>
    <w:rsid w:val="0D7963C5"/>
    <w:rsid w:val="0D7E59E5"/>
    <w:rsid w:val="0D834A5C"/>
    <w:rsid w:val="0D893EB2"/>
    <w:rsid w:val="0D9C16DD"/>
    <w:rsid w:val="0DB56E8E"/>
    <w:rsid w:val="0DB93391"/>
    <w:rsid w:val="0DBF562F"/>
    <w:rsid w:val="0DC40F36"/>
    <w:rsid w:val="0DC70173"/>
    <w:rsid w:val="0DC72F8B"/>
    <w:rsid w:val="0DC93404"/>
    <w:rsid w:val="0DCA02FE"/>
    <w:rsid w:val="0DCB7D45"/>
    <w:rsid w:val="0DD0272C"/>
    <w:rsid w:val="0DD400A1"/>
    <w:rsid w:val="0DD520DE"/>
    <w:rsid w:val="0DDA114E"/>
    <w:rsid w:val="0DDB59D7"/>
    <w:rsid w:val="0DDC03D6"/>
    <w:rsid w:val="0DDE14D8"/>
    <w:rsid w:val="0DE53E77"/>
    <w:rsid w:val="0DE54911"/>
    <w:rsid w:val="0DE74424"/>
    <w:rsid w:val="0DE748A8"/>
    <w:rsid w:val="0DF02E99"/>
    <w:rsid w:val="0DFA76E6"/>
    <w:rsid w:val="0DFC649B"/>
    <w:rsid w:val="0DFD1947"/>
    <w:rsid w:val="0E052000"/>
    <w:rsid w:val="0E075E25"/>
    <w:rsid w:val="0E087EC7"/>
    <w:rsid w:val="0E095F2E"/>
    <w:rsid w:val="0E1817BA"/>
    <w:rsid w:val="0E1A3091"/>
    <w:rsid w:val="0E1A5799"/>
    <w:rsid w:val="0E1A59BE"/>
    <w:rsid w:val="0E1B6184"/>
    <w:rsid w:val="0E1B77B3"/>
    <w:rsid w:val="0E1C0F16"/>
    <w:rsid w:val="0E2223BC"/>
    <w:rsid w:val="0E2735BC"/>
    <w:rsid w:val="0E2E1E85"/>
    <w:rsid w:val="0E3640EF"/>
    <w:rsid w:val="0E3B77C9"/>
    <w:rsid w:val="0E4E253B"/>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4AA5"/>
    <w:rsid w:val="0EC854C4"/>
    <w:rsid w:val="0ECC4D2D"/>
    <w:rsid w:val="0ED642C8"/>
    <w:rsid w:val="0ED95C8A"/>
    <w:rsid w:val="0EE54C4E"/>
    <w:rsid w:val="0EF80EE4"/>
    <w:rsid w:val="0EF87378"/>
    <w:rsid w:val="0EFC0189"/>
    <w:rsid w:val="0EFF773D"/>
    <w:rsid w:val="0F074588"/>
    <w:rsid w:val="0F0D12D4"/>
    <w:rsid w:val="0F0F3003"/>
    <w:rsid w:val="0F0F3AC6"/>
    <w:rsid w:val="0F1108EC"/>
    <w:rsid w:val="0F226CC5"/>
    <w:rsid w:val="0F2277D2"/>
    <w:rsid w:val="0F242262"/>
    <w:rsid w:val="0F2D4EDE"/>
    <w:rsid w:val="0F340285"/>
    <w:rsid w:val="0F3767FD"/>
    <w:rsid w:val="0F425F0E"/>
    <w:rsid w:val="0F430D53"/>
    <w:rsid w:val="0F443DD6"/>
    <w:rsid w:val="0F4A313E"/>
    <w:rsid w:val="0F4B6462"/>
    <w:rsid w:val="0F4E59FA"/>
    <w:rsid w:val="0F4F75B4"/>
    <w:rsid w:val="0F502B54"/>
    <w:rsid w:val="0F5D7157"/>
    <w:rsid w:val="0F6013A0"/>
    <w:rsid w:val="0F6A6302"/>
    <w:rsid w:val="0F6B3804"/>
    <w:rsid w:val="0F6F23DE"/>
    <w:rsid w:val="0F731A39"/>
    <w:rsid w:val="0F8B3075"/>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416A2"/>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3450E"/>
    <w:rsid w:val="10B47A73"/>
    <w:rsid w:val="10B50708"/>
    <w:rsid w:val="10B63015"/>
    <w:rsid w:val="10B81757"/>
    <w:rsid w:val="10BF2E44"/>
    <w:rsid w:val="10D00203"/>
    <w:rsid w:val="10D32F67"/>
    <w:rsid w:val="10D47D5C"/>
    <w:rsid w:val="10D54519"/>
    <w:rsid w:val="10DC0B31"/>
    <w:rsid w:val="10ED7F30"/>
    <w:rsid w:val="10F47A30"/>
    <w:rsid w:val="10F47D17"/>
    <w:rsid w:val="10F87453"/>
    <w:rsid w:val="10F94C8E"/>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73160"/>
    <w:rsid w:val="11574AAF"/>
    <w:rsid w:val="116327EE"/>
    <w:rsid w:val="116739ED"/>
    <w:rsid w:val="116A05CE"/>
    <w:rsid w:val="117E44F4"/>
    <w:rsid w:val="118561C6"/>
    <w:rsid w:val="118C33D9"/>
    <w:rsid w:val="119734D3"/>
    <w:rsid w:val="119A1E99"/>
    <w:rsid w:val="11A3386B"/>
    <w:rsid w:val="11AF7FCE"/>
    <w:rsid w:val="11BB4CD7"/>
    <w:rsid w:val="11C23717"/>
    <w:rsid w:val="11C43249"/>
    <w:rsid w:val="11C60A1A"/>
    <w:rsid w:val="11CC1355"/>
    <w:rsid w:val="11D6081E"/>
    <w:rsid w:val="11D71DDB"/>
    <w:rsid w:val="11DA3226"/>
    <w:rsid w:val="11DA7C8F"/>
    <w:rsid w:val="11DD2374"/>
    <w:rsid w:val="11DF25BA"/>
    <w:rsid w:val="11DF5313"/>
    <w:rsid w:val="11E21C10"/>
    <w:rsid w:val="11E7602B"/>
    <w:rsid w:val="11E84264"/>
    <w:rsid w:val="11EA5AEE"/>
    <w:rsid w:val="11EC3740"/>
    <w:rsid w:val="11EC6DCB"/>
    <w:rsid w:val="11F22E63"/>
    <w:rsid w:val="11F476CD"/>
    <w:rsid w:val="11FB4B03"/>
    <w:rsid w:val="12047298"/>
    <w:rsid w:val="12104BBD"/>
    <w:rsid w:val="121220D8"/>
    <w:rsid w:val="1215211F"/>
    <w:rsid w:val="12172F68"/>
    <w:rsid w:val="121B6C13"/>
    <w:rsid w:val="121F0394"/>
    <w:rsid w:val="121F0A98"/>
    <w:rsid w:val="12203257"/>
    <w:rsid w:val="122320E5"/>
    <w:rsid w:val="12337389"/>
    <w:rsid w:val="12371DF9"/>
    <w:rsid w:val="124D1B03"/>
    <w:rsid w:val="124D6FC3"/>
    <w:rsid w:val="124E37C5"/>
    <w:rsid w:val="12500232"/>
    <w:rsid w:val="12504C31"/>
    <w:rsid w:val="12516E7E"/>
    <w:rsid w:val="12532386"/>
    <w:rsid w:val="126446E3"/>
    <w:rsid w:val="1265749A"/>
    <w:rsid w:val="12657CE4"/>
    <w:rsid w:val="1267663B"/>
    <w:rsid w:val="126923CA"/>
    <w:rsid w:val="126C1967"/>
    <w:rsid w:val="12744242"/>
    <w:rsid w:val="1277751E"/>
    <w:rsid w:val="127A34B1"/>
    <w:rsid w:val="12982522"/>
    <w:rsid w:val="12996871"/>
    <w:rsid w:val="12A15C4F"/>
    <w:rsid w:val="12B43182"/>
    <w:rsid w:val="12B46A84"/>
    <w:rsid w:val="12B65673"/>
    <w:rsid w:val="12BA0258"/>
    <w:rsid w:val="12C625B4"/>
    <w:rsid w:val="12D17BAF"/>
    <w:rsid w:val="12D34111"/>
    <w:rsid w:val="12D35644"/>
    <w:rsid w:val="12DD532E"/>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057A0"/>
    <w:rsid w:val="143E1552"/>
    <w:rsid w:val="143F6AFF"/>
    <w:rsid w:val="144F1B46"/>
    <w:rsid w:val="146A3027"/>
    <w:rsid w:val="146B0173"/>
    <w:rsid w:val="14733EFC"/>
    <w:rsid w:val="14786AC1"/>
    <w:rsid w:val="147E2FA1"/>
    <w:rsid w:val="14870828"/>
    <w:rsid w:val="14920E25"/>
    <w:rsid w:val="1495658F"/>
    <w:rsid w:val="149848E1"/>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91180"/>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7E07C0"/>
    <w:rsid w:val="1584685F"/>
    <w:rsid w:val="158570C9"/>
    <w:rsid w:val="1592090C"/>
    <w:rsid w:val="159B4CCA"/>
    <w:rsid w:val="159D5808"/>
    <w:rsid w:val="15A46E63"/>
    <w:rsid w:val="15A52865"/>
    <w:rsid w:val="15AB3CC0"/>
    <w:rsid w:val="15B42D11"/>
    <w:rsid w:val="15B4460C"/>
    <w:rsid w:val="15BB3017"/>
    <w:rsid w:val="15C46CE3"/>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0D46E6"/>
    <w:rsid w:val="16126270"/>
    <w:rsid w:val="161D7314"/>
    <w:rsid w:val="161E428D"/>
    <w:rsid w:val="16270C37"/>
    <w:rsid w:val="162B3FD9"/>
    <w:rsid w:val="163539B0"/>
    <w:rsid w:val="163A4FD7"/>
    <w:rsid w:val="163F488C"/>
    <w:rsid w:val="165243D6"/>
    <w:rsid w:val="1654399A"/>
    <w:rsid w:val="1658136C"/>
    <w:rsid w:val="166415C4"/>
    <w:rsid w:val="166A6F71"/>
    <w:rsid w:val="1670292F"/>
    <w:rsid w:val="16876F47"/>
    <w:rsid w:val="16893317"/>
    <w:rsid w:val="169979F2"/>
    <w:rsid w:val="169D0852"/>
    <w:rsid w:val="169E746E"/>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2A6B63"/>
    <w:rsid w:val="17313BED"/>
    <w:rsid w:val="1734468E"/>
    <w:rsid w:val="1741129E"/>
    <w:rsid w:val="17426712"/>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05DE1"/>
    <w:rsid w:val="17812B34"/>
    <w:rsid w:val="178763DB"/>
    <w:rsid w:val="17882DA5"/>
    <w:rsid w:val="178B0142"/>
    <w:rsid w:val="1798692F"/>
    <w:rsid w:val="179C3923"/>
    <w:rsid w:val="17A6334D"/>
    <w:rsid w:val="17AE317B"/>
    <w:rsid w:val="17B85BBA"/>
    <w:rsid w:val="17C942A9"/>
    <w:rsid w:val="17CB00B2"/>
    <w:rsid w:val="17CD6181"/>
    <w:rsid w:val="17D26ED1"/>
    <w:rsid w:val="17D963D6"/>
    <w:rsid w:val="17DC1725"/>
    <w:rsid w:val="17DD1A52"/>
    <w:rsid w:val="17DE72B7"/>
    <w:rsid w:val="17E20D1C"/>
    <w:rsid w:val="17E31D1F"/>
    <w:rsid w:val="17E96400"/>
    <w:rsid w:val="17EF68BD"/>
    <w:rsid w:val="17F70F34"/>
    <w:rsid w:val="18142EC2"/>
    <w:rsid w:val="181819A6"/>
    <w:rsid w:val="1822159C"/>
    <w:rsid w:val="182676A5"/>
    <w:rsid w:val="18321DF7"/>
    <w:rsid w:val="18370997"/>
    <w:rsid w:val="184173E8"/>
    <w:rsid w:val="18431DDC"/>
    <w:rsid w:val="18447A5A"/>
    <w:rsid w:val="18506630"/>
    <w:rsid w:val="185826DA"/>
    <w:rsid w:val="18587092"/>
    <w:rsid w:val="185A5120"/>
    <w:rsid w:val="18611EA0"/>
    <w:rsid w:val="18633970"/>
    <w:rsid w:val="18647737"/>
    <w:rsid w:val="18653077"/>
    <w:rsid w:val="18681ADD"/>
    <w:rsid w:val="186E2B2D"/>
    <w:rsid w:val="18702F3C"/>
    <w:rsid w:val="18730A77"/>
    <w:rsid w:val="187619E6"/>
    <w:rsid w:val="187D28CF"/>
    <w:rsid w:val="187E510F"/>
    <w:rsid w:val="187E5D26"/>
    <w:rsid w:val="18831224"/>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797A12"/>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19433D"/>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B448EC"/>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21711"/>
    <w:rsid w:val="1BB92D0D"/>
    <w:rsid w:val="1BBC1049"/>
    <w:rsid w:val="1BBC67E7"/>
    <w:rsid w:val="1BC67D9A"/>
    <w:rsid w:val="1BD02F72"/>
    <w:rsid w:val="1BDA50E3"/>
    <w:rsid w:val="1BE2301B"/>
    <w:rsid w:val="1BF63ABA"/>
    <w:rsid w:val="1BF708B7"/>
    <w:rsid w:val="1BF867C3"/>
    <w:rsid w:val="1BFB2A1C"/>
    <w:rsid w:val="1C04440C"/>
    <w:rsid w:val="1C0556D6"/>
    <w:rsid w:val="1C0939BA"/>
    <w:rsid w:val="1C0B74FC"/>
    <w:rsid w:val="1C101482"/>
    <w:rsid w:val="1C164788"/>
    <w:rsid w:val="1C20757A"/>
    <w:rsid w:val="1C263616"/>
    <w:rsid w:val="1C2F45BE"/>
    <w:rsid w:val="1C316715"/>
    <w:rsid w:val="1C345F7C"/>
    <w:rsid w:val="1C377675"/>
    <w:rsid w:val="1C3D50A3"/>
    <w:rsid w:val="1C3E095B"/>
    <w:rsid w:val="1C545E6A"/>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07AE1"/>
    <w:rsid w:val="1D1D2D86"/>
    <w:rsid w:val="1D2768F8"/>
    <w:rsid w:val="1D2C06E2"/>
    <w:rsid w:val="1D3B59B9"/>
    <w:rsid w:val="1D441B58"/>
    <w:rsid w:val="1D4428DE"/>
    <w:rsid w:val="1D487B7E"/>
    <w:rsid w:val="1D4D79F9"/>
    <w:rsid w:val="1D5B3295"/>
    <w:rsid w:val="1D5D6ACF"/>
    <w:rsid w:val="1D5E7A8C"/>
    <w:rsid w:val="1D60414D"/>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2958CD"/>
    <w:rsid w:val="1E357706"/>
    <w:rsid w:val="1E365099"/>
    <w:rsid w:val="1E377012"/>
    <w:rsid w:val="1E3C35CE"/>
    <w:rsid w:val="1E440A9D"/>
    <w:rsid w:val="1E4869A0"/>
    <w:rsid w:val="1E4D33DE"/>
    <w:rsid w:val="1E4E7A0E"/>
    <w:rsid w:val="1E4F1888"/>
    <w:rsid w:val="1E537554"/>
    <w:rsid w:val="1E556082"/>
    <w:rsid w:val="1E5C084B"/>
    <w:rsid w:val="1E686FB4"/>
    <w:rsid w:val="1E6B0CA1"/>
    <w:rsid w:val="1E6B504D"/>
    <w:rsid w:val="1E742DF8"/>
    <w:rsid w:val="1E750074"/>
    <w:rsid w:val="1E7D153B"/>
    <w:rsid w:val="1E9B19EC"/>
    <w:rsid w:val="1E9F341B"/>
    <w:rsid w:val="1EA42A59"/>
    <w:rsid w:val="1EA569F7"/>
    <w:rsid w:val="1EAC5F6A"/>
    <w:rsid w:val="1EAD2E63"/>
    <w:rsid w:val="1EB1048D"/>
    <w:rsid w:val="1EB23F53"/>
    <w:rsid w:val="1EB31AED"/>
    <w:rsid w:val="1EBB6441"/>
    <w:rsid w:val="1EC122B8"/>
    <w:rsid w:val="1EE10A81"/>
    <w:rsid w:val="1EE10EAA"/>
    <w:rsid w:val="1EED0ACF"/>
    <w:rsid w:val="1EF0749C"/>
    <w:rsid w:val="1EF30157"/>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9F4778"/>
    <w:rsid w:val="1FA27229"/>
    <w:rsid w:val="1FA6339C"/>
    <w:rsid w:val="1FB11014"/>
    <w:rsid w:val="1FBA443E"/>
    <w:rsid w:val="1FBB763F"/>
    <w:rsid w:val="1FBC79E0"/>
    <w:rsid w:val="1FC74197"/>
    <w:rsid w:val="1FD259CF"/>
    <w:rsid w:val="1FD479BA"/>
    <w:rsid w:val="1FD55230"/>
    <w:rsid w:val="1FD641AB"/>
    <w:rsid w:val="1FD96284"/>
    <w:rsid w:val="1FE15B0A"/>
    <w:rsid w:val="1FE41C04"/>
    <w:rsid w:val="1FED1CE9"/>
    <w:rsid w:val="1FF73DE6"/>
    <w:rsid w:val="20006656"/>
    <w:rsid w:val="20084F74"/>
    <w:rsid w:val="200C6F0C"/>
    <w:rsid w:val="201D4044"/>
    <w:rsid w:val="201E5A7F"/>
    <w:rsid w:val="20213B0F"/>
    <w:rsid w:val="202C6A57"/>
    <w:rsid w:val="202C77C4"/>
    <w:rsid w:val="20327B07"/>
    <w:rsid w:val="20347263"/>
    <w:rsid w:val="203E746B"/>
    <w:rsid w:val="20450A76"/>
    <w:rsid w:val="20455F9C"/>
    <w:rsid w:val="2049001E"/>
    <w:rsid w:val="204D6163"/>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A4D78"/>
    <w:rsid w:val="20AC32E3"/>
    <w:rsid w:val="20B27C05"/>
    <w:rsid w:val="20B56DF9"/>
    <w:rsid w:val="20C05709"/>
    <w:rsid w:val="20CA4CDE"/>
    <w:rsid w:val="20D777EF"/>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6752F"/>
    <w:rsid w:val="21677DA7"/>
    <w:rsid w:val="21704749"/>
    <w:rsid w:val="217C63CC"/>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7695F"/>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4159B"/>
    <w:rsid w:val="23090412"/>
    <w:rsid w:val="23151BBD"/>
    <w:rsid w:val="232064A5"/>
    <w:rsid w:val="232600AF"/>
    <w:rsid w:val="232A2D69"/>
    <w:rsid w:val="232A5F2C"/>
    <w:rsid w:val="23386614"/>
    <w:rsid w:val="233D1563"/>
    <w:rsid w:val="234902A8"/>
    <w:rsid w:val="234A49FF"/>
    <w:rsid w:val="2352170F"/>
    <w:rsid w:val="23533331"/>
    <w:rsid w:val="23537622"/>
    <w:rsid w:val="235E676D"/>
    <w:rsid w:val="23637227"/>
    <w:rsid w:val="236739BC"/>
    <w:rsid w:val="237A6F6A"/>
    <w:rsid w:val="237E0DFB"/>
    <w:rsid w:val="237E7F63"/>
    <w:rsid w:val="238137B5"/>
    <w:rsid w:val="238718C4"/>
    <w:rsid w:val="238C26AF"/>
    <w:rsid w:val="238E55FD"/>
    <w:rsid w:val="239213B2"/>
    <w:rsid w:val="23A60BED"/>
    <w:rsid w:val="23AF20CF"/>
    <w:rsid w:val="23BE0C34"/>
    <w:rsid w:val="23D1141C"/>
    <w:rsid w:val="23D11703"/>
    <w:rsid w:val="23D225D9"/>
    <w:rsid w:val="23D364B8"/>
    <w:rsid w:val="23DC6DFC"/>
    <w:rsid w:val="23E43122"/>
    <w:rsid w:val="23E52846"/>
    <w:rsid w:val="23EE2B45"/>
    <w:rsid w:val="23EE567F"/>
    <w:rsid w:val="23FE39DA"/>
    <w:rsid w:val="24012112"/>
    <w:rsid w:val="240456A3"/>
    <w:rsid w:val="24071095"/>
    <w:rsid w:val="2409287D"/>
    <w:rsid w:val="24115707"/>
    <w:rsid w:val="24195F89"/>
    <w:rsid w:val="241B4EFA"/>
    <w:rsid w:val="241D60D7"/>
    <w:rsid w:val="2422724B"/>
    <w:rsid w:val="2424421C"/>
    <w:rsid w:val="2426614A"/>
    <w:rsid w:val="242B3B37"/>
    <w:rsid w:val="24310BB4"/>
    <w:rsid w:val="243E3B80"/>
    <w:rsid w:val="245B7134"/>
    <w:rsid w:val="245E2B2F"/>
    <w:rsid w:val="246816C4"/>
    <w:rsid w:val="246F1B15"/>
    <w:rsid w:val="24740B69"/>
    <w:rsid w:val="247C7BCE"/>
    <w:rsid w:val="24826549"/>
    <w:rsid w:val="2485277B"/>
    <w:rsid w:val="248D34D7"/>
    <w:rsid w:val="248F2AEF"/>
    <w:rsid w:val="2492033C"/>
    <w:rsid w:val="249D3DA9"/>
    <w:rsid w:val="24A629DF"/>
    <w:rsid w:val="24AD6B35"/>
    <w:rsid w:val="24B13323"/>
    <w:rsid w:val="24C42B19"/>
    <w:rsid w:val="24C6327F"/>
    <w:rsid w:val="24CC0676"/>
    <w:rsid w:val="24D834E8"/>
    <w:rsid w:val="24DE7D72"/>
    <w:rsid w:val="24DF1000"/>
    <w:rsid w:val="24EA2AB5"/>
    <w:rsid w:val="24F43460"/>
    <w:rsid w:val="24FA382E"/>
    <w:rsid w:val="24FD2B02"/>
    <w:rsid w:val="25024CF1"/>
    <w:rsid w:val="25041289"/>
    <w:rsid w:val="25112921"/>
    <w:rsid w:val="25145A10"/>
    <w:rsid w:val="25153A7B"/>
    <w:rsid w:val="251B4C7B"/>
    <w:rsid w:val="251B7C63"/>
    <w:rsid w:val="252F41B5"/>
    <w:rsid w:val="253B23EE"/>
    <w:rsid w:val="253E482D"/>
    <w:rsid w:val="253F44D6"/>
    <w:rsid w:val="25415276"/>
    <w:rsid w:val="25443395"/>
    <w:rsid w:val="25480684"/>
    <w:rsid w:val="254B11E9"/>
    <w:rsid w:val="25512198"/>
    <w:rsid w:val="255514A1"/>
    <w:rsid w:val="255B6449"/>
    <w:rsid w:val="25630810"/>
    <w:rsid w:val="257252E6"/>
    <w:rsid w:val="258007D6"/>
    <w:rsid w:val="25892068"/>
    <w:rsid w:val="25930EC9"/>
    <w:rsid w:val="25A534F7"/>
    <w:rsid w:val="25B40894"/>
    <w:rsid w:val="25C1645F"/>
    <w:rsid w:val="25D80A4D"/>
    <w:rsid w:val="25E779EF"/>
    <w:rsid w:val="25F92FDB"/>
    <w:rsid w:val="26001A57"/>
    <w:rsid w:val="26022936"/>
    <w:rsid w:val="26095F44"/>
    <w:rsid w:val="2617252B"/>
    <w:rsid w:val="26185C91"/>
    <w:rsid w:val="262C6323"/>
    <w:rsid w:val="263142D4"/>
    <w:rsid w:val="264336C7"/>
    <w:rsid w:val="26447916"/>
    <w:rsid w:val="265E0639"/>
    <w:rsid w:val="266866BD"/>
    <w:rsid w:val="26696824"/>
    <w:rsid w:val="266C42F7"/>
    <w:rsid w:val="267109C3"/>
    <w:rsid w:val="267365C7"/>
    <w:rsid w:val="26814855"/>
    <w:rsid w:val="268A5924"/>
    <w:rsid w:val="268A7CB8"/>
    <w:rsid w:val="268F5AF5"/>
    <w:rsid w:val="26921014"/>
    <w:rsid w:val="26972C43"/>
    <w:rsid w:val="26AC6EB4"/>
    <w:rsid w:val="26B650E7"/>
    <w:rsid w:val="26C13728"/>
    <w:rsid w:val="26CB7903"/>
    <w:rsid w:val="26CE47F3"/>
    <w:rsid w:val="26D11F9C"/>
    <w:rsid w:val="26D373A1"/>
    <w:rsid w:val="26D771E7"/>
    <w:rsid w:val="26E37859"/>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0029F"/>
    <w:rsid w:val="27DB36C2"/>
    <w:rsid w:val="27DB4429"/>
    <w:rsid w:val="27DF6E43"/>
    <w:rsid w:val="27E10BAD"/>
    <w:rsid w:val="27F77F06"/>
    <w:rsid w:val="28052235"/>
    <w:rsid w:val="281430C3"/>
    <w:rsid w:val="28152F24"/>
    <w:rsid w:val="28163699"/>
    <w:rsid w:val="281671B7"/>
    <w:rsid w:val="281937D4"/>
    <w:rsid w:val="281E3EAE"/>
    <w:rsid w:val="28264224"/>
    <w:rsid w:val="28391476"/>
    <w:rsid w:val="28395805"/>
    <w:rsid w:val="283B79F1"/>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E3233"/>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93450"/>
    <w:rsid w:val="298D58DE"/>
    <w:rsid w:val="298E480D"/>
    <w:rsid w:val="2995628D"/>
    <w:rsid w:val="29971BD2"/>
    <w:rsid w:val="299D603F"/>
    <w:rsid w:val="29A265F9"/>
    <w:rsid w:val="29A9096D"/>
    <w:rsid w:val="29AE4166"/>
    <w:rsid w:val="29AF1653"/>
    <w:rsid w:val="29B05FFA"/>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3D27E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D57D91"/>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49685C"/>
    <w:rsid w:val="2B503BE9"/>
    <w:rsid w:val="2B512E76"/>
    <w:rsid w:val="2B554BD0"/>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A2405"/>
    <w:rsid w:val="2CFF0B4C"/>
    <w:rsid w:val="2D082DC2"/>
    <w:rsid w:val="2D1043E6"/>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23FA"/>
    <w:rsid w:val="2D854A69"/>
    <w:rsid w:val="2D9531A4"/>
    <w:rsid w:val="2D9F622A"/>
    <w:rsid w:val="2DA74F81"/>
    <w:rsid w:val="2DAB42E1"/>
    <w:rsid w:val="2DB26597"/>
    <w:rsid w:val="2DB5614E"/>
    <w:rsid w:val="2DB92758"/>
    <w:rsid w:val="2DC00102"/>
    <w:rsid w:val="2DCB194C"/>
    <w:rsid w:val="2DD2187B"/>
    <w:rsid w:val="2DD5041F"/>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6F666B"/>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436E8"/>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567B4"/>
    <w:rsid w:val="2F8B1796"/>
    <w:rsid w:val="2F9B6578"/>
    <w:rsid w:val="2F9F4AF8"/>
    <w:rsid w:val="2FAB7AE6"/>
    <w:rsid w:val="2FB02F2E"/>
    <w:rsid w:val="2FB7706E"/>
    <w:rsid w:val="2FBD19FD"/>
    <w:rsid w:val="2FBE7613"/>
    <w:rsid w:val="2FC347CC"/>
    <w:rsid w:val="2FD804D0"/>
    <w:rsid w:val="2FDA0314"/>
    <w:rsid w:val="2FE54281"/>
    <w:rsid w:val="2FF51385"/>
    <w:rsid w:val="2FFC42CC"/>
    <w:rsid w:val="2FFE0E4A"/>
    <w:rsid w:val="30032FEE"/>
    <w:rsid w:val="300635B2"/>
    <w:rsid w:val="30067385"/>
    <w:rsid w:val="300D11EE"/>
    <w:rsid w:val="300E7D68"/>
    <w:rsid w:val="300F2D5A"/>
    <w:rsid w:val="301712E8"/>
    <w:rsid w:val="301D572A"/>
    <w:rsid w:val="30214C7E"/>
    <w:rsid w:val="30216F0F"/>
    <w:rsid w:val="302E6593"/>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885D41"/>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E0E72"/>
    <w:rsid w:val="315F1185"/>
    <w:rsid w:val="316B3A15"/>
    <w:rsid w:val="317B6247"/>
    <w:rsid w:val="3184584E"/>
    <w:rsid w:val="31890AFA"/>
    <w:rsid w:val="3193236E"/>
    <w:rsid w:val="31942C78"/>
    <w:rsid w:val="31962251"/>
    <w:rsid w:val="31B575A2"/>
    <w:rsid w:val="31B90C93"/>
    <w:rsid w:val="31DB56BD"/>
    <w:rsid w:val="31E159BF"/>
    <w:rsid w:val="31E31A45"/>
    <w:rsid w:val="31EE1B5E"/>
    <w:rsid w:val="31F6115A"/>
    <w:rsid w:val="31F95C2B"/>
    <w:rsid w:val="3200741C"/>
    <w:rsid w:val="320A364A"/>
    <w:rsid w:val="321D6B3D"/>
    <w:rsid w:val="322128BF"/>
    <w:rsid w:val="32230E1D"/>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2D0A5F"/>
    <w:rsid w:val="333971B7"/>
    <w:rsid w:val="33407A22"/>
    <w:rsid w:val="3343097A"/>
    <w:rsid w:val="3344395B"/>
    <w:rsid w:val="33472609"/>
    <w:rsid w:val="334E2BBC"/>
    <w:rsid w:val="335A6892"/>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EF3DEB"/>
    <w:rsid w:val="33F067C7"/>
    <w:rsid w:val="33F62331"/>
    <w:rsid w:val="33FC5728"/>
    <w:rsid w:val="340636B9"/>
    <w:rsid w:val="34086B9E"/>
    <w:rsid w:val="34100C1C"/>
    <w:rsid w:val="3424694F"/>
    <w:rsid w:val="342C5766"/>
    <w:rsid w:val="342D7BF8"/>
    <w:rsid w:val="342F2330"/>
    <w:rsid w:val="342F6D32"/>
    <w:rsid w:val="34315F70"/>
    <w:rsid w:val="34376FAF"/>
    <w:rsid w:val="3442587D"/>
    <w:rsid w:val="34492CC5"/>
    <w:rsid w:val="344E2D1E"/>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055C7"/>
    <w:rsid w:val="35243473"/>
    <w:rsid w:val="35260393"/>
    <w:rsid w:val="352C21B2"/>
    <w:rsid w:val="353263C6"/>
    <w:rsid w:val="354123B5"/>
    <w:rsid w:val="35441378"/>
    <w:rsid w:val="354B076A"/>
    <w:rsid w:val="354C204D"/>
    <w:rsid w:val="35527E03"/>
    <w:rsid w:val="35533710"/>
    <w:rsid w:val="355B3CE5"/>
    <w:rsid w:val="355B6A6F"/>
    <w:rsid w:val="35616185"/>
    <w:rsid w:val="356C7D73"/>
    <w:rsid w:val="35745580"/>
    <w:rsid w:val="357E1639"/>
    <w:rsid w:val="35834702"/>
    <w:rsid w:val="358430C4"/>
    <w:rsid w:val="358A3FFA"/>
    <w:rsid w:val="35952CEE"/>
    <w:rsid w:val="359A71C7"/>
    <w:rsid w:val="35A437E8"/>
    <w:rsid w:val="35A47BC3"/>
    <w:rsid w:val="35AF1A13"/>
    <w:rsid w:val="35B64FD1"/>
    <w:rsid w:val="35BA60BD"/>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4758"/>
    <w:rsid w:val="36216BEE"/>
    <w:rsid w:val="36246F7A"/>
    <w:rsid w:val="362645CD"/>
    <w:rsid w:val="36285816"/>
    <w:rsid w:val="362A457F"/>
    <w:rsid w:val="362B4D6E"/>
    <w:rsid w:val="362C2535"/>
    <w:rsid w:val="36416328"/>
    <w:rsid w:val="36471A5E"/>
    <w:rsid w:val="364931EB"/>
    <w:rsid w:val="364A6846"/>
    <w:rsid w:val="365763D4"/>
    <w:rsid w:val="3667341B"/>
    <w:rsid w:val="366A2F08"/>
    <w:rsid w:val="36751470"/>
    <w:rsid w:val="36826931"/>
    <w:rsid w:val="36885705"/>
    <w:rsid w:val="36887E64"/>
    <w:rsid w:val="368A2FB4"/>
    <w:rsid w:val="36961ED1"/>
    <w:rsid w:val="36985CBF"/>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2E72E0"/>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9A0FDB"/>
    <w:rsid w:val="37A30873"/>
    <w:rsid w:val="37A81F1B"/>
    <w:rsid w:val="37A82E6A"/>
    <w:rsid w:val="37AD2BE0"/>
    <w:rsid w:val="37B002A8"/>
    <w:rsid w:val="37BC7D6A"/>
    <w:rsid w:val="37C04076"/>
    <w:rsid w:val="37C155D2"/>
    <w:rsid w:val="37C8668D"/>
    <w:rsid w:val="37C964A6"/>
    <w:rsid w:val="37CB48C8"/>
    <w:rsid w:val="37D251F3"/>
    <w:rsid w:val="37D42753"/>
    <w:rsid w:val="37D43E53"/>
    <w:rsid w:val="37DC282A"/>
    <w:rsid w:val="37E45D5A"/>
    <w:rsid w:val="37EB7EF5"/>
    <w:rsid w:val="37F9149D"/>
    <w:rsid w:val="37FB0B3E"/>
    <w:rsid w:val="37FC19AF"/>
    <w:rsid w:val="380C799E"/>
    <w:rsid w:val="381443AC"/>
    <w:rsid w:val="38163E72"/>
    <w:rsid w:val="381760EF"/>
    <w:rsid w:val="381B47D0"/>
    <w:rsid w:val="38212C9A"/>
    <w:rsid w:val="38274ABD"/>
    <w:rsid w:val="382C75E6"/>
    <w:rsid w:val="382D1422"/>
    <w:rsid w:val="382D2E19"/>
    <w:rsid w:val="383057ED"/>
    <w:rsid w:val="38350C02"/>
    <w:rsid w:val="383651A6"/>
    <w:rsid w:val="384E6F01"/>
    <w:rsid w:val="385D53D8"/>
    <w:rsid w:val="385E3236"/>
    <w:rsid w:val="38607A4C"/>
    <w:rsid w:val="386D6A86"/>
    <w:rsid w:val="38766C47"/>
    <w:rsid w:val="3887059F"/>
    <w:rsid w:val="38880168"/>
    <w:rsid w:val="388B1091"/>
    <w:rsid w:val="388F0D9F"/>
    <w:rsid w:val="38922097"/>
    <w:rsid w:val="389A1DEC"/>
    <w:rsid w:val="38CC185A"/>
    <w:rsid w:val="38D233FA"/>
    <w:rsid w:val="38D43BCE"/>
    <w:rsid w:val="38D5234B"/>
    <w:rsid w:val="38D5710F"/>
    <w:rsid w:val="38EA64E4"/>
    <w:rsid w:val="38F10979"/>
    <w:rsid w:val="38FA0464"/>
    <w:rsid w:val="38FF192C"/>
    <w:rsid w:val="3908273C"/>
    <w:rsid w:val="390E35F7"/>
    <w:rsid w:val="39105D6E"/>
    <w:rsid w:val="39145CDB"/>
    <w:rsid w:val="39160C57"/>
    <w:rsid w:val="391C4E68"/>
    <w:rsid w:val="39222FA9"/>
    <w:rsid w:val="39563559"/>
    <w:rsid w:val="39570EDE"/>
    <w:rsid w:val="395B167E"/>
    <w:rsid w:val="39615265"/>
    <w:rsid w:val="39656815"/>
    <w:rsid w:val="39681D44"/>
    <w:rsid w:val="396B2955"/>
    <w:rsid w:val="397834C3"/>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97DC0"/>
    <w:rsid w:val="3A6F23F7"/>
    <w:rsid w:val="3A761F09"/>
    <w:rsid w:val="3A7E466F"/>
    <w:rsid w:val="3A835525"/>
    <w:rsid w:val="3A8A0C83"/>
    <w:rsid w:val="3A8F173D"/>
    <w:rsid w:val="3A904241"/>
    <w:rsid w:val="3A95462C"/>
    <w:rsid w:val="3AA3573F"/>
    <w:rsid w:val="3AB51559"/>
    <w:rsid w:val="3AB75940"/>
    <w:rsid w:val="3AB80274"/>
    <w:rsid w:val="3ABA3106"/>
    <w:rsid w:val="3ABC389B"/>
    <w:rsid w:val="3AD86362"/>
    <w:rsid w:val="3AE801A7"/>
    <w:rsid w:val="3AEE35CA"/>
    <w:rsid w:val="3AEE6745"/>
    <w:rsid w:val="3AF34940"/>
    <w:rsid w:val="3AF51000"/>
    <w:rsid w:val="3AF84B31"/>
    <w:rsid w:val="3B0C32DD"/>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D7416"/>
    <w:rsid w:val="3BFE0325"/>
    <w:rsid w:val="3C017E8A"/>
    <w:rsid w:val="3C0700C2"/>
    <w:rsid w:val="3C100582"/>
    <w:rsid w:val="3C1712F0"/>
    <w:rsid w:val="3C1845CD"/>
    <w:rsid w:val="3C19096E"/>
    <w:rsid w:val="3C1957C8"/>
    <w:rsid w:val="3C1C0639"/>
    <w:rsid w:val="3C2E346D"/>
    <w:rsid w:val="3C300658"/>
    <w:rsid w:val="3C33357B"/>
    <w:rsid w:val="3C335E0E"/>
    <w:rsid w:val="3C346B7B"/>
    <w:rsid w:val="3C3B425B"/>
    <w:rsid w:val="3C482649"/>
    <w:rsid w:val="3C543122"/>
    <w:rsid w:val="3C620A5E"/>
    <w:rsid w:val="3C62242C"/>
    <w:rsid w:val="3C6541EF"/>
    <w:rsid w:val="3C6C3E08"/>
    <w:rsid w:val="3C6E47E3"/>
    <w:rsid w:val="3C744B26"/>
    <w:rsid w:val="3C816E1B"/>
    <w:rsid w:val="3C831660"/>
    <w:rsid w:val="3C93325D"/>
    <w:rsid w:val="3CBC4692"/>
    <w:rsid w:val="3CC81D9F"/>
    <w:rsid w:val="3CCD1E53"/>
    <w:rsid w:val="3CDC4055"/>
    <w:rsid w:val="3CDD5498"/>
    <w:rsid w:val="3CEA0930"/>
    <w:rsid w:val="3CEA1403"/>
    <w:rsid w:val="3CEB459E"/>
    <w:rsid w:val="3CF27B95"/>
    <w:rsid w:val="3CFC38DE"/>
    <w:rsid w:val="3CFE6266"/>
    <w:rsid w:val="3CFF5A50"/>
    <w:rsid w:val="3D0009D4"/>
    <w:rsid w:val="3D022A34"/>
    <w:rsid w:val="3D0532BC"/>
    <w:rsid w:val="3D066B35"/>
    <w:rsid w:val="3D106EB6"/>
    <w:rsid w:val="3D1C0B24"/>
    <w:rsid w:val="3D2D4C32"/>
    <w:rsid w:val="3D2F46A1"/>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4098C"/>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00261"/>
    <w:rsid w:val="3E5E47FF"/>
    <w:rsid w:val="3E620DC8"/>
    <w:rsid w:val="3E650593"/>
    <w:rsid w:val="3E6544EB"/>
    <w:rsid w:val="3E6729BB"/>
    <w:rsid w:val="3E684068"/>
    <w:rsid w:val="3E6953FA"/>
    <w:rsid w:val="3E7F51AE"/>
    <w:rsid w:val="3E895706"/>
    <w:rsid w:val="3E9111B3"/>
    <w:rsid w:val="3E976485"/>
    <w:rsid w:val="3E9D503C"/>
    <w:rsid w:val="3EA9033A"/>
    <w:rsid w:val="3EAA5491"/>
    <w:rsid w:val="3EAF72E4"/>
    <w:rsid w:val="3EB024A8"/>
    <w:rsid w:val="3EB3388D"/>
    <w:rsid w:val="3EB678A6"/>
    <w:rsid w:val="3EC50962"/>
    <w:rsid w:val="3EC9315F"/>
    <w:rsid w:val="3ED332D0"/>
    <w:rsid w:val="3EE147C0"/>
    <w:rsid w:val="3F031D86"/>
    <w:rsid w:val="3F075FB1"/>
    <w:rsid w:val="3F1704B3"/>
    <w:rsid w:val="3F1C511B"/>
    <w:rsid w:val="3F21691D"/>
    <w:rsid w:val="3F227F5D"/>
    <w:rsid w:val="3F257466"/>
    <w:rsid w:val="3F26543B"/>
    <w:rsid w:val="3F2F5A8C"/>
    <w:rsid w:val="3F337273"/>
    <w:rsid w:val="3F412DEC"/>
    <w:rsid w:val="3F425D2C"/>
    <w:rsid w:val="3F5B19BB"/>
    <w:rsid w:val="3F5C7432"/>
    <w:rsid w:val="3F670AEB"/>
    <w:rsid w:val="3F674097"/>
    <w:rsid w:val="3F6B0F2F"/>
    <w:rsid w:val="3F6D484B"/>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1E76EE"/>
    <w:rsid w:val="40222A67"/>
    <w:rsid w:val="402E0E4E"/>
    <w:rsid w:val="403177FA"/>
    <w:rsid w:val="40385090"/>
    <w:rsid w:val="403A2026"/>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62761A"/>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1F04C8"/>
    <w:rsid w:val="4220489C"/>
    <w:rsid w:val="423376D4"/>
    <w:rsid w:val="423979F5"/>
    <w:rsid w:val="42557AE4"/>
    <w:rsid w:val="425C5BCE"/>
    <w:rsid w:val="425F7EE1"/>
    <w:rsid w:val="42605FC7"/>
    <w:rsid w:val="4277132B"/>
    <w:rsid w:val="427E1411"/>
    <w:rsid w:val="427E1440"/>
    <w:rsid w:val="42887B26"/>
    <w:rsid w:val="42904B06"/>
    <w:rsid w:val="42910831"/>
    <w:rsid w:val="42A71702"/>
    <w:rsid w:val="42A97915"/>
    <w:rsid w:val="42AF6E21"/>
    <w:rsid w:val="42B61D72"/>
    <w:rsid w:val="42B95478"/>
    <w:rsid w:val="42BA05CB"/>
    <w:rsid w:val="42BC2E3B"/>
    <w:rsid w:val="42BD0168"/>
    <w:rsid w:val="42C34410"/>
    <w:rsid w:val="42D21379"/>
    <w:rsid w:val="42EC5ED5"/>
    <w:rsid w:val="42F17260"/>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22B1F"/>
    <w:rsid w:val="436647E4"/>
    <w:rsid w:val="43675D4E"/>
    <w:rsid w:val="436E31A2"/>
    <w:rsid w:val="436E6A85"/>
    <w:rsid w:val="437250FA"/>
    <w:rsid w:val="437C39D2"/>
    <w:rsid w:val="438863EE"/>
    <w:rsid w:val="438E18C4"/>
    <w:rsid w:val="43A10A25"/>
    <w:rsid w:val="43A36763"/>
    <w:rsid w:val="43A94C99"/>
    <w:rsid w:val="43AC717F"/>
    <w:rsid w:val="43AD047C"/>
    <w:rsid w:val="43B93CA1"/>
    <w:rsid w:val="43BD2864"/>
    <w:rsid w:val="43C137EF"/>
    <w:rsid w:val="43C96CC1"/>
    <w:rsid w:val="43D95A5E"/>
    <w:rsid w:val="43DB681A"/>
    <w:rsid w:val="43DE3695"/>
    <w:rsid w:val="43E66B2A"/>
    <w:rsid w:val="43EA7FCE"/>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5D0C71"/>
    <w:rsid w:val="44704880"/>
    <w:rsid w:val="447670D1"/>
    <w:rsid w:val="447B38D0"/>
    <w:rsid w:val="448D0879"/>
    <w:rsid w:val="44962505"/>
    <w:rsid w:val="44970B52"/>
    <w:rsid w:val="449A2D31"/>
    <w:rsid w:val="449A2DDB"/>
    <w:rsid w:val="449A7C89"/>
    <w:rsid w:val="449F5B81"/>
    <w:rsid w:val="44A43AD2"/>
    <w:rsid w:val="44A744DC"/>
    <w:rsid w:val="44B00AD5"/>
    <w:rsid w:val="44BE5AFE"/>
    <w:rsid w:val="44C0317F"/>
    <w:rsid w:val="44C71611"/>
    <w:rsid w:val="44CA33E5"/>
    <w:rsid w:val="44CA44C7"/>
    <w:rsid w:val="44CB2B24"/>
    <w:rsid w:val="44CC6B71"/>
    <w:rsid w:val="44D2188E"/>
    <w:rsid w:val="44D600B5"/>
    <w:rsid w:val="44DB63C4"/>
    <w:rsid w:val="44E55EB8"/>
    <w:rsid w:val="44E63F80"/>
    <w:rsid w:val="44EA0AAC"/>
    <w:rsid w:val="44F13BA9"/>
    <w:rsid w:val="44F26262"/>
    <w:rsid w:val="44F43421"/>
    <w:rsid w:val="44FF12D4"/>
    <w:rsid w:val="4505615F"/>
    <w:rsid w:val="450A3765"/>
    <w:rsid w:val="45133F8F"/>
    <w:rsid w:val="45195E19"/>
    <w:rsid w:val="451A08D6"/>
    <w:rsid w:val="451A4504"/>
    <w:rsid w:val="45216D6E"/>
    <w:rsid w:val="452F31ED"/>
    <w:rsid w:val="45444294"/>
    <w:rsid w:val="454E526B"/>
    <w:rsid w:val="45624F4A"/>
    <w:rsid w:val="456533EA"/>
    <w:rsid w:val="4568096A"/>
    <w:rsid w:val="456E12DF"/>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26A6D"/>
    <w:rsid w:val="4618416B"/>
    <w:rsid w:val="462D549D"/>
    <w:rsid w:val="462F5652"/>
    <w:rsid w:val="46344934"/>
    <w:rsid w:val="464C33C7"/>
    <w:rsid w:val="46771A19"/>
    <w:rsid w:val="468D25A7"/>
    <w:rsid w:val="46967E3F"/>
    <w:rsid w:val="46A1326E"/>
    <w:rsid w:val="46A2703C"/>
    <w:rsid w:val="46A47599"/>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37354"/>
    <w:rsid w:val="47241903"/>
    <w:rsid w:val="47250AD7"/>
    <w:rsid w:val="473602C7"/>
    <w:rsid w:val="47522E07"/>
    <w:rsid w:val="47591712"/>
    <w:rsid w:val="475B285B"/>
    <w:rsid w:val="47690EAD"/>
    <w:rsid w:val="476A091A"/>
    <w:rsid w:val="476C1FD1"/>
    <w:rsid w:val="476F314A"/>
    <w:rsid w:val="47781E92"/>
    <w:rsid w:val="477A102B"/>
    <w:rsid w:val="477A516E"/>
    <w:rsid w:val="477C3C9F"/>
    <w:rsid w:val="478175DF"/>
    <w:rsid w:val="47835FD1"/>
    <w:rsid w:val="47921058"/>
    <w:rsid w:val="47980643"/>
    <w:rsid w:val="47A74723"/>
    <w:rsid w:val="47AC64AE"/>
    <w:rsid w:val="47AE2329"/>
    <w:rsid w:val="47B148F4"/>
    <w:rsid w:val="47B25DFC"/>
    <w:rsid w:val="47BA20DB"/>
    <w:rsid w:val="47BB4588"/>
    <w:rsid w:val="47BC5BE9"/>
    <w:rsid w:val="47C80408"/>
    <w:rsid w:val="47CD4EBC"/>
    <w:rsid w:val="47D34EEE"/>
    <w:rsid w:val="47D67760"/>
    <w:rsid w:val="47DC4C30"/>
    <w:rsid w:val="47E678D8"/>
    <w:rsid w:val="47FD076E"/>
    <w:rsid w:val="48002186"/>
    <w:rsid w:val="481431E7"/>
    <w:rsid w:val="481571E2"/>
    <w:rsid w:val="481B2655"/>
    <w:rsid w:val="48207339"/>
    <w:rsid w:val="48220C0B"/>
    <w:rsid w:val="48272EB6"/>
    <w:rsid w:val="482A5D6D"/>
    <w:rsid w:val="482E36E3"/>
    <w:rsid w:val="48330D0B"/>
    <w:rsid w:val="48430F5E"/>
    <w:rsid w:val="4844010E"/>
    <w:rsid w:val="484D70C0"/>
    <w:rsid w:val="484E18C5"/>
    <w:rsid w:val="48586A3A"/>
    <w:rsid w:val="48620B89"/>
    <w:rsid w:val="48661300"/>
    <w:rsid w:val="4866681E"/>
    <w:rsid w:val="486B673C"/>
    <w:rsid w:val="486D67CD"/>
    <w:rsid w:val="486D7B00"/>
    <w:rsid w:val="486E63C8"/>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713D4"/>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4E524F"/>
    <w:rsid w:val="49522254"/>
    <w:rsid w:val="4959460B"/>
    <w:rsid w:val="496655B7"/>
    <w:rsid w:val="49697F1E"/>
    <w:rsid w:val="49806975"/>
    <w:rsid w:val="4982676D"/>
    <w:rsid w:val="4989248B"/>
    <w:rsid w:val="49897B8B"/>
    <w:rsid w:val="49917ED1"/>
    <w:rsid w:val="49A5039D"/>
    <w:rsid w:val="49C33E31"/>
    <w:rsid w:val="49CA7E3C"/>
    <w:rsid w:val="49D9493E"/>
    <w:rsid w:val="49E05DCB"/>
    <w:rsid w:val="49F50CB4"/>
    <w:rsid w:val="49FA578F"/>
    <w:rsid w:val="4A0028F7"/>
    <w:rsid w:val="4A05296D"/>
    <w:rsid w:val="4A075C91"/>
    <w:rsid w:val="4A087489"/>
    <w:rsid w:val="4A1D2C9C"/>
    <w:rsid w:val="4A1D610B"/>
    <w:rsid w:val="4A2B1F5C"/>
    <w:rsid w:val="4A4B30F6"/>
    <w:rsid w:val="4A4E3EE0"/>
    <w:rsid w:val="4A5B56DF"/>
    <w:rsid w:val="4A652E86"/>
    <w:rsid w:val="4A6A2377"/>
    <w:rsid w:val="4A824219"/>
    <w:rsid w:val="4A834EB2"/>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DE172A"/>
    <w:rsid w:val="4AE96D40"/>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65ACB"/>
    <w:rsid w:val="4B7A6EA5"/>
    <w:rsid w:val="4B853EFA"/>
    <w:rsid w:val="4B8A5383"/>
    <w:rsid w:val="4B986D5D"/>
    <w:rsid w:val="4BA0089F"/>
    <w:rsid w:val="4BA85532"/>
    <w:rsid w:val="4BB00CBD"/>
    <w:rsid w:val="4BB26A23"/>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51B2D"/>
    <w:rsid w:val="4C584E87"/>
    <w:rsid w:val="4C5A5543"/>
    <w:rsid w:val="4C6A698D"/>
    <w:rsid w:val="4C6E6E0D"/>
    <w:rsid w:val="4C7E62D9"/>
    <w:rsid w:val="4C821BAF"/>
    <w:rsid w:val="4C946C54"/>
    <w:rsid w:val="4C9A15FF"/>
    <w:rsid w:val="4CA321E7"/>
    <w:rsid w:val="4CB63AA4"/>
    <w:rsid w:val="4CB96134"/>
    <w:rsid w:val="4CBA6BE7"/>
    <w:rsid w:val="4CBB7B02"/>
    <w:rsid w:val="4CBE7E14"/>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060A4"/>
    <w:rsid w:val="4D3435E7"/>
    <w:rsid w:val="4D361251"/>
    <w:rsid w:val="4D44774F"/>
    <w:rsid w:val="4D4B58A5"/>
    <w:rsid w:val="4D5454CB"/>
    <w:rsid w:val="4D627203"/>
    <w:rsid w:val="4D646FE6"/>
    <w:rsid w:val="4D66006E"/>
    <w:rsid w:val="4D6802FA"/>
    <w:rsid w:val="4D6C3B9E"/>
    <w:rsid w:val="4D8674BE"/>
    <w:rsid w:val="4D8B066E"/>
    <w:rsid w:val="4D92506A"/>
    <w:rsid w:val="4D9C209F"/>
    <w:rsid w:val="4D9D4910"/>
    <w:rsid w:val="4D9F05E4"/>
    <w:rsid w:val="4DA06A38"/>
    <w:rsid w:val="4DA1215C"/>
    <w:rsid w:val="4DB138BF"/>
    <w:rsid w:val="4DBC13F1"/>
    <w:rsid w:val="4DC20DF4"/>
    <w:rsid w:val="4DC3357A"/>
    <w:rsid w:val="4DCF12F7"/>
    <w:rsid w:val="4DD806AE"/>
    <w:rsid w:val="4DE43F03"/>
    <w:rsid w:val="4DE77501"/>
    <w:rsid w:val="4DEB5692"/>
    <w:rsid w:val="4DEE7F20"/>
    <w:rsid w:val="4DF17B7F"/>
    <w:rsid w:val="4DF62A72"/>
    <w:rsid w:val="4DF71177"/>
    <w:rsid w:val="4DFC48A7"/>
    <w:rsid w:val="4E015F8B"/>
    <w:rsid w:val="4E016C79"/>
    <w:rsid w:val="4E09513E"/>
    <w:rsid w:val="4E0A7662"/>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00DED"/>
    <w:rsid w:val="4F626837"/>
    <w:rsid w:val="4F632DB7"/>
    <w:rsid w:val="4F6828F3"/>
    <w:rsid w:val="4F745890"/>
    <w:rsid w:val="4F752C58"/>
    <w:rsid w:val="4F7702EF"/>
    <w:rsid w:val="4F7B55C1"/>
    <w:rsid w:val="4F7B6C2F"/>
    <w:rsid w:val="4F882033"/>
    <w:rsid w:val="4F8B24DC"/>
    <w:rsid w:val="4F967CF0"/>
    <w:rsid w:val="4FB140AE"/>
    <w:rsid w:val="4FB76356"/>
    <w:rsid w:val="4FCC1960"/>
    <w:rsid w:val="4FDF3544"/>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66634"/>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CF5D3C"/>
    <w:rsid w:val="50E41082"/>
    <w:rsid w:val="50ED0AB0"/>
    <w:rsid w:val="50F66EF4"/>
    <w:rsid w:val="50F96C4E"/>
    <w:rsid w:val="50FA20DD"/>
    <w:rsid w:val="50FA2CE9"/>
    <w:rsid w:val="510108CA"/>
    <w:rsid w:val="51031DC2"/>
    <w:rsid w:val="5104147F"/>
    <w:rsid w:val="51054860"/>
    <w:rsid w:val="51075C61"/>
    <w:rsid w:val="511835E5"/>
    <w:rsid w:val="511968AA"/>
    <w:rsid w:val="511D3656"/>
    <w:rsid w:val="51233865"/>
    <w:rsid w:val="51240121"/>
    <w:rsid w:val="51276A18"/>
    <w:rsid w:val="51282BDC"/>
    <w:rsid w:val="51293D18"/>
    <w:rsid w:val="512C327D"/>
    <w:rsid w:val="513F14C7"/>
    <w:rsid w:val="51404F78"/>
    <w:rsid w:val="514329D6"/>
    <w:rsid w:val="514532E2"/>
    <w:rsid w:val="5147331D"/>
    <w:rsid w:val="51561317"/>
    <w:rsid w:val="515B5D2F"/>
    <w:rsid w:val="51663591"/>
    <w:rsid w:val="51712B1F"/>
    <w:rsid w:val="517360C1"/>
    <w:rsid w:val="517B0723"/>
    <w:rsid w:val="517E6414"/>
    <w:rsid w:val="518D321B"/>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2F513DD"/>
    <w:rsid w:val="530715FB"/>
    <w:rsid w:val="5309565C"/>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364E0"/>
    <w:rsid w:val="53E61847"/>
    <w:rsid w:val="53E8282F"/>
    <w:rsid w:val="53E857A6"/>
    <w:rsid w:val="53EA5D89"/>
    <w:rsid w:val="53F86054"/>
    <w:rsid w:val="54084368"/>
    <w:rsid w:val="540E3ABB"/>
    <w:rsid w:val="54174D5D"/>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27491"/>
    <w:rsid w:val="550875D8"/>
    <w:rsid w:val="550B06CA"/>
    <w:rsid w:val="550C5474"/>
    <w:rsid w:val="55100448"/>
    <w:rsid w:val="55103D46"/>
    <w:rsid w:val="551232C8"/>
    <w:rsid w:val="551A3BB5"/>
    <w:rsid w:val="55201E14"/>
    <w:rsid w:val="55230BAB"/>
    <w:rsid w:val="55294FFC"/>
    <w:rsid w:val="552C5FEB"/>
    <w:rsid w:val="552F4D2C"/>
    <w:rsid w:val="553222A2"/>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51720"/>
    <w:rsid w:val="558B7530"/>
    <w:rsid w:val="558D6B82"/>
    <w:rsid w:val="558F57AA"/>
    <w:rsid w:val="55943888"/>
    <w:rsid w:val="55964693"/>
    <w:rsid w:val="559F786F"/>
    <w:rsid w:val="55A9784C"/>
    <w:rsid w:val="55AC794C"/>
    <w:rsid w:val="55AD28F4"/>
    <w:rsid w:val="55AE5163"/>
    <w:rsid w:val="55B62F64"/>
    <w:rsid w:val="55BD4F0C"/>
    <w:rsid w:val="55D01BC1"/>
    <w:rsid w:val="55D52C8E"/>
    <w:rsid w:val="55E32F66"/>
    <w:rsid w:val="55E6604F"/>
    <w:rsid w:val="55FF3C96"/>
    <w:rsid w:val="560010ED"/>
    <w:rsid w:val="560A1E7A"/>
    <w:rsid w:val="560C20A5"/>
    <w:rsid w:val="561226B4"/>
    <w:rsid w:val="56197CCE"/>
    <w:rsid w:val="562236D0"/>
    <w:rsid w:val="562C2FA6"/>
    <w:rsid w:val="562E13B9"/>
    <w:rsid w:val="56312196"/>
    <w:rsid w:val="56353E08"/>
    <w:rsid w:val="56362C3B"/>
    <w:rsid w:val="564419EE"/>
    <w:rsid w:val="564B4F61"/>
    <w:rsid w:val="564C6A6F"/>
    <w:rsid w:val="56506BA6"/>
    <w:rsid w:val="56553D47"/>
    <w:rsid w:val="565D32EE"/>
    <w:rsid w:val="565D3364"/>
    <w:rsid w:val="56682B4C"/>
    <w:rsid w:val="5668633D"/>
    <w:rsid w:val="566A2966"/>
    <w:rsid w:val="566D65BC"/>
    <w:rsid w:val="56707213"/>
    <w:rsid w:val="5677517B"/>
    <w:rsid w:val="56882964"/>
    <w:rsid w:val="568B7F89"/>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A7499"/>
    <w:rsid w:val="579E3D52"/>
    <w:rsid w:val="579F72F0"/>
    <w:rsid w:val="57A22C4C"/>
    <w:rsid w:val="57A90039"/>
    <w:rsid w:val="57AF4D0A"/>
    <w:rsid w:val="57B27112"/>
    <w:rsid w:val="57B738E0"/>
    <w:rsid w:val="57B90017"/>
    <w:rsid w:val="57BC7E22"/>
    <w:rsid w:val="57BF0711"/>
    <w:rsid w:val="57C80109"/>
    <w:rsid w:val="57CA6B58"/>
    <w:rsid w:val="57CD0996"/>
    <w:rsid w:val="57D3757D"/>
    <w:rsid w:val="57D51907"/>
    <w:rsid w:val="57D61534"/>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A901CD"/>
    <w:rsid w:val="58AD1C30"/>
    <w:rsid w:val="58BA3264"/>
    <w:rsid w:val="58C0349D"/>
    <w:rsid w:val="58C404E6"/>
    <w:rsid w:val="58C94687"/>
    <w:rsid w:val="58DE49F6"/>
    <w:rsid w:val="58F7247A"/>
    <w:rsid w:val="58FA10F4"/>
    <w:rsid w:val="590413BD"/>
    <w:rsid w:val="590C7D1F"/>
    <w:rsid w:val="591015C0"/>
    <w:rsid w:val="5919583D"/>
    <w:rsid w:val="5919795C"/>
    <w:rsid w:val="59232537"/>
    <w:rsid w:val="592F245D"/>
    <w:rsid w:val="59377985"/>
    <w:rsid w:val="593D3B58"/>
    <w:rsid w:val="5943520B"/>
    <w:rsid w:val="59440619"/>
    <w:rsid w:val="594720D1"/>
    <w:rsid w:val="59551343"/>
    <w:rsid w:val="59570C35"/>
    <w:rsid w:val="595F0519"/>
    <w:rsid w:val="596326A9"/>
    <w:rsid w:val="59633634"/>
    <w:rsid w:val="59700257"/>
    <w:rsid w:val="59702594"/>
    <w:rsid w:val="5971561F"/>
    <w:rsid w:val="59724E0E"/>
    <w:rsid w:val="597252E0"/>
    <w:rsid w:val="597D3815"/>
    <w:rsid w:val="59830A4E"/>
    <w:rsid w:val="598866E1"/>
    <w:rsid w:val="59907A1F"/>
    <w:rsid w:val="599101A7"/>
    <w:rsid w:val="5993497F"/>
    <w:rsid w:val="599559A4"/>
    <w:rsid w:val="59AF271B"/>
    <w:rsid w:val="59C00CFC"/>
    <w:rsid w:val="59C23BB7"/>
    <w:rsid w:val="59C42D4A"/>
    <w:rsid w:val="59CA5610"/>
    <w:rsid w:val="59D216F2"/>
    <w:rsid w:val="59D50AFB"/>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3F31"/>
    <w:rsid w:val="5A6E5F01"/>
    <w:rsid w:val="5A7F23D0"/>
    <w:rsid w:val="5A812DC1"/>
    <w:rsid w:val="5A89045B"/>
    <w:rsid w:val="5A8A5A34"/>
    <w:rsid w:val="5A947631"/>
    <w:rsid w:val="5A9F1F6A"/>
    <w:rsid w:val="5AA843D2"/>
    <w:rsid w:val="5AAE1E87"/>
    <w:rsid w:val="5AB7056C"/>
    <w:rsid w:val="5ACC337C"/>
    <w:rsid w:val="5ACF442D"/>
    <w:rsid w:val="5AD87740"/>
    <w:rsid w:val="5ADB4B04"/>
    <w:rsid w:val="5ADB63B3"/>
    <w:rsid w:val="5AE6795F"/>
    <w:rsid w:val="5AE67D49"/>
    <w:rsid w:val="5AE86EE3"/>
    <w:rsid w:val="5AEC2ADA"/>
    <w:rsid w:val="5AED24DD"/>
    <w:rsid w:val="5AF2382A"/>
    <w:rsid w:val="5AF43314"/>
    <w:rsid w:val="5AF71FAF"/>
    <w:rsid w:val="5AF81963"/>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958E9"/>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04E75"/>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5762D0"/>
    <w:rsid w:val="5D5C2FF9"/>
    <w:rsid w:val="5D60610D"/>
    <w:rsid w:val="5D677934"/>
    <w:rsid w:val="5D6872E4"/>
    <w:rsid w:val="5D687BEF"/>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984ECF"/>
    <w:rsid w:val="5DAD66F9"/>
    <w:rsid w:val="5DAF334A"/>
    <w:rsid w:val="5DB1433F"/>
    <w:rsid w:val="5DB40934"/>
    <w:rsid w:val="5DB57495"/>
    <w:rsid w:val="5DB85880"/>
    <w:rsid w:val="5DC3075F"/>
    <w:rsid w:val="5DCE03FF"/>
    <w:rsid w:val="5DD07EF8"/>
    <w:rsid w:val="5DD15393"/>
    <w:rsid w:val="5DD67626"/>
    <w:rsid w:val="5DD71C09"/>
    <w:rsid w:val="5DE93770"/>
    <w:rsid w:val="5DEE2D49"/>
    <w:rsid w:val="5DF50DA8"/>
    <w:rsid w:val="5E087EA2"/>
    <w:rsid w:val="5E0D67C6"/>
    <w:rsid w:val="5E2775CA"/>
    <w:rsid w:val="5E294315"/>
    <w:rsid w:val="5E295856"/>
    <w:rsid w:val="5E2B48FE"/>
    <w:rsid w:val="5E330F25"/>
    <w:rsid w:val="5E35132D"/>
    <w:rsid w:val="5E49038C"/>
    <w:rsid w:val="5E4A1687"/>
    <w:rsid w:val="5E4E124A"/>
    <w:rsid w:val="5E585271"/>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E975E2"/>
    <w:rsid w:val="5EF2235E"/>
    <w:rsid w:val="5EFB6D35"/>
    <w:rsid w:val="5F054905"/>
    <w:rsid w:val="5F085052"/>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8D0E8B"/>
    <w:rsid w:val="5F991BCB"/>
    <w:rsid w:val="5FBA0A46"/>
    <w:rsid w:val="5FBF59B7"/>
    <w:rsid w:val="5FD21CA0"/>
    <w:rsid w:val="5FD303F2"/>
    <w:rsid w:val="5FD81733"/>
    <w:rsid w:val="5FD81D58"/>
    <w:rsid w:val="5FD918A4"/>
    <w:rsid w:val="5FDB1CC4"/>
    <w:rsid w:val="5FDE2E8C"/>
    <w:rsid w:val="5FE32071"/>
    <w:rsid w:val="5FE64A41"/>
    <w:rsid w:val="5FE8789F"/>
    <w:rsid w:val="5FED15CB"/>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1F71"/>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1C72"/>
    <w:rsid w:val="60DC22DF"/>
    <w:rsid w:val="60DC54BD"/>
    <w:rsid w:val="60E440E4"/>
    <w:rsid w:val="60EE4AE8"/>
    <w:rsid w:val="60FA79C1"/>
    <w:rsid w:val="61071EAC"/>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BF4A11"/>
    <w:rsid w:val="61C544D0"/>
    <w:rsid w:val="61C557FB"/>
    <w:rsid w:val="61CA71FC"/>
    <w:rsid w:val="61D12A7D"/>
    <w:rsid w:val="61DC7DC1"/>
    <w:rsid w:val="61DD6C29"/>
    <w:rsid w:val="61DD7269"/>
    <w:rsid w:val="61DE687D"/>
    <w:rsid w:val="61F26A42"/>
    <w:rsid w:val="61F97366"/>
    <w:rsid w:val="62015914"/>
    <w:rsid w:val="621728E6"/>
    <w:rsid w:val="6224074C"/>
    <w:rsid w:val="62297593"/>
    <w:rsid w:val="6232068E"/>
    <w:rsid w:val="62327D52"/>
    <w:rsid w:val="623D4244"/>
    <w:rsid w:val="62416372"/>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16D42"/>
    <w:rsid w:val="62E41429"/>
    <w:rsid w:val="62E42049"/>
    <w:rsid w:val="62EA6278"/>
    <w:rsid w:val="62F15134"/>
    <w:rsid w:val="62F2073B"/>
    <w:rsid w:val="62F27B02"/>
    <w:rsid w:val="62F551DC"/>
    <w:rsid w:val="63006329"/>
    <w:rsid w:val="63066E77"/>
    <w:rsid w:val="63083357"/>
    <w:rsid w:val="63095298"/>
    <w:rsid w:val="63133A2F"/>
    <w:rsid w:val="63171A8A"/>
    <w:rsid w:val="63191FA4"/>
    <w:rsid w:val="631955AD"/>
    <w:rsid w:val="631D0B61"/>
    <w:rsid w:val="63225E12"/>
    <w:rsid w:val="63270B8D"/>
    <w:rsid w:val="632B29BD"/>
    <w:rsid w:val="633170D9"/>
    <w:rsid w:val="633C78BB"/>
    <w:rsid w:val="633D3863"/>
    <w:rsid w:val="634067A5"/>
    <w:rsid w:val="63425F59"/>
    <w:rsid w:val="6348181B"/>
    <w:rsid w:val="63505013"/>
    <w:rsid w:val="63545A4B"/>
    <w:rsid w:val="6356637E"/>
    <w:rsid w:val="63567264"/>
    <w:rsid w:val="635B50A6"/>
    <w:rsid w:val="635F3E6C"/>
    <w:rsid w:val="636513A8"/>
    <w:rsid w:val="63682016"/>
    <w:rsid w:val="63725C9C"/>
    <w:rsid w:val="63725EC7"/>
    <w:rsid w:val="638D42C0"/>
    <w:rsid w:val="639C0F65"/>
    <w:rsid w:val="63A3208F"/>
    <w:rsid w:val="63A855E8"/>
    <w:rsid w:val="63B0726B"/>
    <w:rsid w:val="63BD3927"/>
    <w:rsid w:val="63CF41E2"/>
    <w:rsid w:val="63D0326A"/>
    <w:rsid w:val="63D37E25"/>
    <w:rsid w:val="63D57D26"/>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31F2B"/>
    <w:rsid w:val="653536A9"/>
    <w:rsid w:val="65381046"/>
    <w:rsid w:val="65387C76"/>
    <w:rsid w:val="65405E19"/>
    <w:rsid w:val="65443275"/>
    <w:rsid w:val="654D2F79"/>
    <w:rsid w:val="65504D99"/>
    <w:rsid w:val="65512BF5"/>
    <w:rsid w:val="655C3A4E"/>
    <w:rsid w:val="65611088"/>
    <w:rsid w:val="65617866"/>
    <w:rsid w:val="656D67D2"/>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31952"/>
    <w:rsid w:val="65F70B5E"/>
    <w:rsid w:val="65F90627"/>
    <w:rsid w:val="65FA1EED"/>
    <w:rsid w:val="65FE6126"/>
    <w:rsid w:val="66026916"/>
    <w:rsid w:val="660303A4"/>
    <w:rsid w:val="66162D18"/>
    <w:rsid w:val="66196874"/>
    <w:rsid w:val="66196EAD"/>
    <w:rsid w:val="661D6420"/>
    <w:rsid w:val="66242FDE"/>
    <w:rsid w:val="66271BFC"/>
    <w:rsid w:val="66322AB5"/>
    <w:rsid w:val="66346DFD"/>
    <w:rsid w:val="66347380"/>
    <w:rsid w:val="663B0316"/>
    <w:rsid w:val="663E2C89"/>
    <w:rsid w:val="664956ED"/>
    <w:rsid w:val="66516CF9"/>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10E0"/>
    <w:rsid w:val="676F1C85"/>
    <w:rsid w:val="676F77C9"/>
    <w:rsid w:val="67774242"/>
    <w:rsid w:val="67815A45"/>
    <w:rsid w:val="6791215B"/>
    <w:rsid w:val="67993ACA"/>
    <w:rsid w:val="67995BDF"/>
    <w:rsid w:val="679B3665"/>
    <w:rsid w:val="679D7667"/>
    <w:rsid w:val="67A1024E"/>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555EE"/>
    <w:rsid w:val="67EE4071"/>
    <w:rsid w:val="67F07B78"/>
    <w:rsid w:val="67F4170F"/>
    <w:rsid w:val="67F750D2"/>
    <w:rsid w:val="67FE5AFC"/>
    <w:rsid w:val="67FF6FE0"/>
    <w:rsid w:val="680E4D2C"/>
    <w:rsid w:val="681D3DEB"/>
    <w:rsid w:val="682353BE"/>
    <w:rsid w:val="6833005A"/>
    <w:rsid w:val="68363F74"/>
    <w:rsid w:val="683659CB"/>
    <w:rsid w:val="684302F7"/>
    <w:rsid w:val="684A7F42"/>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50D1D"/>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6552C"/>
    <w:rsid w:val="69C932A9"/>
    <w:rsid w:val="69D64D08"/>
    <w:rsid w:val="69DC4528"/>
    <w:rsid w:val="69E51124"/>
    <w:rsid w:val="69E578F8"/>
    <w:rsid w:val="69E82662"/>
    <w:rsid w:val="69EB5FCC"/>
    <w:rsid w:val="69EF4BA7"/>
    <w:rsid w:val="69F460E4"/>
    <w:rsid w:val="6A063C23"/>
    <w:rsid w:val="6A0B175E"/>
    <w:rsid w:val="6A0B1C3A"/>
    <w:rsid w:val="6A14624F"/>
    <w:rsid w:val="6A1874E7"/>
    <w:rsid w:val="6A202C4A"/>
    <w:rsid w:val="6A282B66"/>
    <w:rsid w:val="6A2C7939"/>
    <w:rsid w:val="6A2F393C"/>
    <w:rsid w:val="6A2F4319"/>
    <w:rsid w:val="6A376EC7"/>
    <w:rsid w:val="6A4077BA"/>
    <w:rsid w:val="6A527D31"/>
    <w:rsid w:val="6A5705B3"/>
    <w:rsid w:val="6A6E1B96"/>
    <w:rsid w:val="6A732C43"/>
    <w:rsid w:val="6A894D8C"/>
    <w:rsid w:val="6A8A0F55"/>
    <w:rsid w:val="6A8D5383"/>
    <w:rsid w:val="6A920AE0"/>
    <w:rsid w:val="6A9B563B"/>
    <w:rsid w:val="6A9E23C8"/>
    <w:rsid w:val="6AA741A3"/>
    <w:rsid w:val="6ABB3B40"/>
    <w:rsid w:val="6AC93F8C"/>
    <w:rsid w:val="6AD03B37"/>
    <w:rsid w:val="6AD1121C"/>
    <w:rsid w:val="6ADB2ADD"/>
    <w:rsid w:val="6AE6668E"/>
    <w:rsid w:val="6AF666D5"/>
    <w:rsid w:val="6B05020C"/>
    <w:rsid w:val="6B11594C"/>
    <w:rsid w:val="6B2E7032"/>
    <w:rsid w:val="6B3413B3"/>
    <w:rsid w:val="6B4444EF"/>
    <w:rsid w:val="6B537D47"/>
    <w:rsid w:val="6B60464B"/>
    <w:rsid w:val="6B634B7D"/>
    <w:rsid w:val="6B681EB2"/>
    <w:rsid w:val="6B696FA9"/>
    <w:rsid w:val="6B6A26F8"/>
    <w:rsid w:val="6B6C4150"/>
    <w:rsid w:val="6B6E47D9"/>
    <w:rsid w:val="6B706A2B"/>
    <w:rsid w:val="6B741DC4"/>
    <w:rsid w:val="6B7B1541"/>
    <w:rsid w:val="6B7C7DA8"/>
    <w:rsid w:val="6B80359D"/>
    <w:rsid w:val="6B8A1407"/>
    <w:rsid w:val="6BA63872"/>
    <w:rsid w:val="6BB24E8F"/>
    <w:rsid w:val="6BC80A7B"/>
    <w:rsid w:val="6BDE3149"/>
    <w:rsid w:val="6BE115FE"/>
    <w:rsid w:val="6BE916E7"/>
    <w:rsid w:val="6BF43C10"/>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01018"/>
    <w:rsid w:val="6CC45316"/>
    <w:rsid w:val="6CC7229D"/>
    <w:rsid w:val="6CD6702A"/>
    <w:rsid w:val="6CDA72FE"/>
    <w:rsid w:val="6CE756D0"/>
    <w:rsid w:val="6CEF0D5D"/>
    <w:rsid w:val="6CF65CED"/>
    <w:rsid w:val="6CF85D89"/>
    <w:rsid w:val="6D06792F"/>
    <w:rsid w:val="6D0A162F"/>
    <w:rsid w:val="6D16053C"/>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72CC0"/>
    <w:rsid w:val="6E4A2B2A"/>
    <w:rsid w:val="6E5B1061"/>
    <w:rsid w:val="6E632F17"/>
    <w:rsid w:val="6E7A5781"/>
    <w:rsid w:val="6E9C0963"/>
    <w:rsid w:val="6EA70A4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1E33"/>
    <w:rsid w:val="6EF632B9"/>
    <w:rsid w:val="6EFB2B08"/>
    <w:rsid w:val="6EFC3116"/>
    <w:rsid w:val="6EFE48A0"/>
    <w:rsid w:val="6F0303A8"/>
    <w:rsid w:val="6F0C63D7"/>
    <w:rsid w:val="6F0E6EA0"/>
    <w:rsid w:val="6F0E7B8B"/>
    <w:rsid w:val="6F24560B"/>
    <w:rsid w:val="6F276BB0"/>
    <w:rsid w:val="6F294CCC"/>
    <w:rsid w:val="6F3B5656"/>
    <w:rsid w:val="6F3F7D38"/>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54D3B"/>
    <w:rsid w:val="702A21C5"/>
    <w:rsid w:val="702E56D9"/>
    <w:rsid w:val="703B4AA7"/>
    <w:rsid w:val="703D5A78"/>
    <w:rsid w:val="703F1AC5"/>
    <w:rsid w:val="705642DC"/>
    <w:rsid w:val="7062438A"/>
    <w:rsid w:val="706D57C4"/>
    <w:rsid w:val="707E1B03"/>
    <w:rsid w:val="70884101"/>
    <w:rsid w:val="70972617"/>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1B1E46"/>
    <w:rsid w:val="712F05D2"/>
    <w:rsid w:val="712F4884"/>
    <w:rsid w:val="7130470C"/>
    <w:rsid w:val="71373DAF"/>
    <w:rsid w:val="71431E1E"/>
    <w:rsid w:val="714A575C"/>
    <w:rsid w:val="714D5498"/>
    <w:rsid w:val="714E093C"/>
    <w:rsid w:val="71532FE3"/>
    <w:rsid w:val="71653DF2"/>
    <w:rsid w:val="71675F62"/>
    <w:rsid w:val="7177447D"/>
    <w:rsid w:val="71942565"/>
    <w:rsid w:val="71956D10"/>
    <w:rsid w:val="719E1803"/>
    <w:rsid w:val="719E4BE0"/>
    <w:rsid w:val="71B0099E"/>
    <w:rsid w:val="71D01A82"/>
    <w:rsid w:val="71D477D6"/>
    <w:rsid w:val="71D91572"/>
    <w:rsid w:val="71E329B9"/>
    <w:rsid w:val="71E36CE7"/>
    <w:rsid w:val="71ED2963"/>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A24117"/>
    <w:rsid w:val="72A41103"/>
    <w:rsid w:val="72BB62FA"/>
    <w:rsid w:val="72BE203A"/>
    <w:rsid w:val="72C20714"/>
    <w:rsid w:val="72C96AFD"/>
    <w:rsid w:val="72C96D9C"/>
    <w:rsid w:val="72DF2D54"/>
    <w:rsid w:val="72E53AF1"/>
    <w:rsid w:val="72F36F06"/>
    <w:rsid w:val="72F42BA6"/>
    <w:rsid w:val="72F96FC3"/>
    <w:rsid w:val="72FA494D"/>
    <w:rsid w:val="72FF2BDA"/>
    <w:rsid w:val="72FF2ED3"/>
    <w:rsid w:val="730243B3"/>
    <w:rsid w:val="73122F3A"/>
    <w:rsid w:val="73151C25"/>
    <w:rsid w:val="731576D6"/>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505F5"/>
    <w:rsid w:val="73872ED1"/>
    <w:rsid w:val="738B4CAC"/>
    <w:rsid w:val="738F78EC"/>
    <w:rsid w:val="73992BDC"/>
    <w:rsid w:val="73A47EFB"/>
    <w:rsid w:val="73AA0B80"/>
    <w:rsid w:val="73BD0ECB"/>
    <w:rsid w:val="73C01F04"/>
    <w:rsid w:val="73C42BD2"/>
    <w:rsid w:val="73C4341B"/>
    <w:rsid w:val="73CB10D6"/>
    <w:rsid w:val="73D87220"/>
    <w:rsid w:val="73DD24FF"/>
    <w:rsid w:val="73E16E48"/>
    <w:rsid w:val="73F77ED0"/>
    <w:rsid w:val="73F92251"/>
    <w:rsid w:val="73FC5075"/>
    <w:rsid w:val="73FD1FE1"/>
    <w:rsid w:val="74004D50"/>
    <w:rsid w:val="7414573A"/>
    <w:rsid w:val="741522AA"/>
    <w:rsid w:val="74167702"/>
    <w:rsid w:val="741920B7"/>
    <w:rsid w:val="74274051"/>
    <w:rsid w:val="74394C16"/>
    <w:rsid w:val="74397B64"/>
    <w:rsid w:val="743A1D6A"/>
    <w:rsid w:val="744C4300"/>
    <w:rsid w:val="74522ADD"/>
    <w:rsid w:val="74697489"/>
    <w:rsid w:val="746A3418"/>
    <w:rsid w:val="747977F5"/>
    <w:rsid w:val="74847690"/>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0185F"/>
    <w:rsid w:val="75322F2D"/>
    <w:rsid w:val="75367523"/>
    <w:rsid w:val="753B0AEC"/>
    <w:rsid w:val="753E466F"/>
    <w:rsid w:val="753E4AFA"/>
    <w:rsid w:val="75425D2B"/>
    <w:rsid w:val="75473288"/>
    <w:rsid w:val="754D1042"/>
    <w:rsid w:val="7552701E"/>
    <w:rsid w:val="755771E2"/>
    <w:rsid w:val="755C2C58"/>
    <w:rsid w:val="755C48F2"/>
    <w:rsid w:val="755F004D"/>
    <w:rsid w:val="756453A3"/>
    <w:rsid w:val="757000D5"/>
    <w:rsid w:val="757B2462"/>
    <w:rsid w:val="757C09D4"/>
    <w:rsid w:val="758613F6"/>
    <w:rsid w:val="758660F7"/>
    <w:rsid w:val="75867A8C"/>
    <w:rsid w:val="758739F1"/>
    <w:rsid w:val="75A51A0D"/>
    <w:rsid w:val="75A77B96"/>
    <w:rsid w:val="75AD284C"/>
    <w:rsid w:val="75CE2381"/>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476F3"/>
    <w:rsid w:val="762D665B"/>
    <w:rsid w:val="762E25CA"/>
    <w:rsid w:val="76381FAB"/>
    <w:rsid w:val="763A46B8"/>
    <w:rsid w:val="764E12D1"/>
    <w:rsid w:val="76507552"/>
    <w:rsid w:val="76645AE7"/>
    <w:rsid w:val="7666520B"/>
    <w:rsid w:val="766A66DC"/>
    <w:rsid w:val="766D37EB"/>
    <w:rsid w:val="76774321"/>
    <w:rsid w:val="76805D33"/>
    <w:rsid w:val="76A45693"/>
    <w:rsid w:val="76B76559"/>
    <w:rsid w:val="76C1748B"/>
    <w:rsid w:val="76C62DA6"/>
    <w:rsid w:val="76CB66C2"/>
    <w:rsid w:val="76CC27C0"/>
    <w:rsid w:val="76D71B2F"/>
    <w:rsid w:val="76D72961"/>
    <w:rsid w:val="76D80CB2"/>
    <w:rsid w:val="76DA28C5"/>
    <w:rsid w:val="76DE63E9"/>
    <w:rsid w:val="76E077BC"/>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9266D8"/>
    <w:rsid w:val="77A340AF"/>
    <w:rsid w:val="77AC7F2F"/>
    <w:rsid w:val="77B67802"/>
    <w:rsid w:val="77B73B64"/>
    <w:rsid w:val="77C03ECA"/>
    <w:rsid w:val="77EB5C69"/>
    <w:rsid w:val="77EC18B4"/>
    <w:rsid w:val="77FC7EA1"/>
    <w:rsid w:val="78030BB3"/>
    <w:rsid w:val="78051DE6"/>
    <w:rsid w:val="780C4D7B"/>
    <w:rsid w:val="78154D8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7D3B1A"/>
    <w:rsid w:val="788526FC"/>
    <w:rsid w:val="78894F7F"/>
    <w:rsid w:val="789325A8"/>
    <w:rsid w:val="789775DA"/>
    <w:rsid w:val="789C5CC2"/>
    <w:rsid w:val="78A91820"/>
    <w:rsid w:val="78AB0194"/>
    <w:rsid w:val="78B55E40"/>
    <w:rsid w:val="78BA06DD"/>
    <w:rsid w:val="78BD011C"/>
    <w:rsid w:val="78BF06C1"/>
    <w:rsid w:val="78CF013E"/>
    <w:rsid w:val="78D41BC4"/>
    <w:rsid w:val="78D7123D"/>
    <w:rsid w:val="78DA737F"/>
    <w:rsid w:val="78E45DC5"/>
    <w:rsid w:val="78E74107"/>
    <w:rsid w:val="78E829E1"/>
    <w:rsid w:val="78ED6266"/>
    <w:rsid w:val="78F2079F"/>
    <w:rsid w:val="79035C3B"/>
    <w:rsid w:val="791043CB"/>
    <w:rsid w:val="7911492F"/>
    <w:rsid w:val="791B1776"/>
    <w:rsid w:val="791C7FBB"/>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374C8"/>
    <w:rsid w:val="79A9542E"/>
    <w:rsid w:val="79AC51EB"/>
    <w:rsid w:val="79B67472"/>
    <w:rsid w:val="79BE5DE1"/>
    <w:rsid w:val="79CB6670"/>
    <w:rsid w:val="79CD1AAA"/>
    <w:rsid w:val="79D17363"/>
    <w:rsid w:val="79D65E05"/>
    <w:rsid w:val="79D82C2E"/>
    <w:rsid w:val="79D83551"/>
    <w:rsid w:val="79E140A1"/>
    <w:rsid w:val="79E21174"/>
    <w:rsid w:val="79E24263"/>
    <w:rsid w:val="79F04129"/>
    <w:rsid w:val="79F21FD8"/>
    <w:rsid w:val="79F6126D"/>
    <w:rsid w:val="7A044F5E"/>
    <w:rsid w:val="7A0716CA"/>
    <w:rsid w:val="7A087006"/>
    <w:rsid w:val="7A114BB5"/>
    <w:rsid w:val="7A14656B"/>
    <w:rsid w:val="7A246641"/>
    <w:rsid w:val="7A3005C8"/>
    <w:rsid w:val="7A495661"/>
    <w:rsid w:val="7A4A2D6F"/>
    <w:rsid w:val="7A4D6899"/>
    <w:rsid w:val="7A4D6D0A"/>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BE4CE3"/>
    <w:rsid w:val="7AC91635"/>
    <w:rsid w:val="7ADE6CE8"/>
    <w:rsid w:val="7AEB63DD"/>
    <w:rsid w:val="7AEF66BC"/>
    <w:rsid w:val="7B0B6E35"/>
    <w:rsid w:val="7B0E4A1C"/>
    <w:rsid w:val="7B120E50"/>
    <w:rsid w:val="7B17071C"/>
    <w:rsid w:val="7B1B6704"/>
    <w:rsid w:val="7B1F7F20"/>
    <w:rsid w:val="7B2D4E59"/>
    <w:rsid w:val="7B3E404B"/>
    <w:rsid w:val="7B3E6F0C"/>
    <w:rsid w:val="7B487574"/>
    <w:rsid w:val="7B5B03C8"/>
    <w:rsid w:val="7B5F47E3"/>
    <w:rsid w:val="7B6507F0"/>
    <w:rsid w:val="7B677818"/>
    <w:rsid w:val="7B6F5726"/>
    <w:rsid w:val="7B742FC3"/>
    <w:rsid w:val="7B7C2D50"/>
    <w:rsid w:val="7B7D03F4"/>
    <w:rsid w:val="7B8332C5"/>
    <w:rsid w:val="7B933A33"/>
    <w:rsid w:val="7B9B5776"/>
    <w:rsid w:val="7B9F6F9B"/>
    <w:rsid w:val="7BA84F1A"/>
    <w:rsid w:val="7BB57165"/>
    <w:rsid w:val="7BB87E91"/>
    <w:rsid w:val="7BBA4C6D"/>
    <w:rsid w:val="7BBF7B42"/>
    <w:rsid w:val="7BC47370"/>
    <w:rsid w:val="7BCA3C52"/>
    <w:rsid w:val="7BDC25DE"/>
    <w:rsid w:val="7BDC5781"/>
    <w:rsid w:val="7BE85532"/>
    <w:rsid w:val="7BED1AFB"/>
    <w:rsid w:val="7BF521EB"/>
    <w:rsid w:val="7BF65A76"/>
    <w:rsid w:val="7BFE5B71"/>
    <w:rsid w:val="7C090308"/>
    <w:rsid w:val="7C1526D4"/>
    <w:rsid w:val="7C1775C5"/>
    <w:rsid w:val="7C2A78D1"/>
    <w:rsid w:val="7C521E57"/>
    <w:rsid w:val="7C535553"/>
    <w:rsid w:val="7C563743"/>
    <w:rsid w:val="7C5A2CD1"/>
    <w:rsid w:val="7C5B29CF"/>
    <w:rsid w:val="7C687993"/>
    <w:rsid w:val="7C6D5ED6"/>
    <w:rsid w:val="7C7F0437"/>
    <w:rsid w:val="7C875361"/>
    <w:rsid w:val="7C9407DA"/>
    <w:rsid w:val="7C9E7D96"/>
    <w:rsid w:val="7CA2276B"/>
    <w:rsid w:val="7CA8408C"/>
    <w:rsid w:val="7CAD24F1"/>
    <w:rsid w:val="7CB67DC0"/>
    <w:rsid w:val="7CB927F3"/>
    <w:rsid w:val="7CBD1EC8"/>
    <w:rsid w:val="7CCD5AC9"/>
    <w:rsid w:val="7CD25978"/>
    <w:rsid w:val="7CD67C88"/>
    <w:rsid w:val="7CDC25A9"/>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40B1"/>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D330B8"/>
    <w:rsid w:val="7DE37918"/>
    <w:rsid w:val="7DEA7677"/>
    <w:rsid w:val="7DF232D8"/>
    <w:rsid w:val="7DF44714"/>
    <w:rsid w:val="7DFC6FC2"/>
    <w:rsid w:val="7E0904D0"/>
    <w:rsid w:val="7E09086E"/>
    <w:rsid w:val="7E0B1F99"/>
    <w:rsid w:val="7E12726B"/>
    <w:rsid w:val="7E135DA3"/>
    <w:rsid w:val="7E1743E8"/>
    <w:rsid w:val="7E175904"/>
    <w:rsid w:val="7E2D3630"/>
    <w:rsid w:val="7E2F2179"/>
    <w:rsid w:val="7E314AA9"/>
    <w:rsid w:val="7E32200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8315B"/>
    <w:rsid w:val="7EE97587"/>
    <w:rsid w:val="7EFA78E6"/>
    <w:rsid w:val="7EFC08FE"/>
    <w:rsid w:val="7EFC1A7B"/>
    <w:rsid w:val="7F0277A3"/>
    <w:rsid w:val="7F0C44D7"/>
    <w:rsid w:val="7F0F5438"/>
    <w:rsid w:val="7F116418"/>
    <w:rsid w:val="7F26412C"/>
    <w:rsid w:val="7F2E2C68"/>
    <w:rsid w:val="7F331D30"/>
    <w:rsid w:val="7F345D5C"/>
    <w:rsid w:val="7F37282D"/>
    <w:rsid w:val="7F3733FF"/>
    <w:rsid w:val="7F420F17"/>
    <w:rsid w:val="7F4718C5"/>
    <w:rsid w:val="7F491102"/>
    <w:rsid w:val="7F5157A1"/>
    <w:rsid w:val="7F557C58"/>
    <w:rsid w:val="7F575AF6"/>
    <w:rsid w:val="7F58558D"/>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 w:val="7FFB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basedOn w:val="1"/>
    <w:link w:val="45"/>
    <w:qFormat/>
    <w:uiPriority w:val="0"/>
    <w:pPr>
      <w:widowControl w:val="0"/>
      <w:spacing w:after="160"/>
    </w:pPr>
    <w:rPr>
      <w:rFonts w:ascii="Arial" w:hAnsi="Arial"/>
      <w:b/>
      <w:sz w:val="18"/>
    </w:rPr>
  </w:style>
  <w:style w:type="paragraph" w:styleId="21">
    <w:name w:val="List 5"/>
    <w:basedOn w:val="1"/>
    <w:qFormat/>
    <w:uiPriority w:val="0"/>
    <w:pPr>
      <w:ind w:left="100" w:leftChars="800" w:hanging="200" w:hangingChars="200"/>
    </w:pPr>
  </w:style>
  <w:style w:type="paragraph" w:styleId="22">
    <w:name w:val="List 4"/>
    <w:basedOn w:val="11"/>
    <w:qFormat/>
    <w:uiPriority w:val="0"/>
    <w:pPr>
      <w:ind w:left="600" w:leftChars="6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字符"/>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字符"/>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字符"/>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字符"/>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8">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29">
    <w:name w:val="List Paragraph41"/>
    <w:basedOn w:val="1"/>
    <w:qFormat/>
    <w:uiPriority w:val="34"/>
    <w:pPr>
      <w:spacing w:after="0"/>
      <w:ind w:left="720"/>
      <w:contextualSpacing/>
    </w:pPr>
    <w:rPr>
      <w:sz w:val="24"/>
      <w:szCs w:val="24"/>
      <w:lang w:val="fi-FI" w:eastAsia="zh-CN"/>
    </w:rPr>
  </w:style>
  <w:style w:type="paragraph" w:customStyle="1" w:styleId="130">
    <w:name w:val="List Paragraph5"/>
    <w:basedOn w:val="1"/>
    <w:qFormat/>
    <w:uiPriority w:val="99"/>
    <w:pPr>
      <w:ind w:firstLine="420" w:firstLineChars="200"/>
    </w:pPr>
  </w:style>
  <w:style w:type="paragraph" w:customStyle="1" w:styleId="131">
    <w:name w:val="??"/>
    <w:qFormat/>
    <w:uiPriority w:val="0"/>
    <w:pPr>
      <w:widowControl w:val="0"/>
    </w:pPr>
    <w:rPr>
      <w:rFonts w:ascii="Times New Roman" w:hAnsi="Times New Roman" w:cs="Times New Roman" w:eastAsiaTheme="minorEastAsia"/>
      <w:sz w:val="21"/>
      <w:szCs w:val="22"/>
      <w:lang w:val="en-US" w:eastAsia="en-US" w:bidi="ar-SA"/>
    </w:rPr>
  </w:style>
  <w:style w:type="paragraph" w:customStyle="1" w:styleId="132">
    <w:name w:val="列出段落4"/>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3">
    <w:name w:val="列出段落5"/>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4">
    <w:name w:val="列出段落6"/>
    <w:basedOn w:val="1"/>
    <w:qFormat/>
    <w:uiPriority w:val="99"/>
    <w:pPr>
      <w:ind w:firstLine="420" w:firstLineChars="200"/>
    </w:pPr>
  </w:style>
  <w:style w:type="paragraph" w:customStyle="1" w:styleId="135">
    <w:name w:val="列表段落1"/>
    <w:basedOn w:val="1"/>
    <w:qFormat/>
    <w:uiPriority w:val="34"/>
    <w:pPr>
      <w:overflowPunct w:val="0"/>
      <w:ind w:left="720"/>
      <w:contextualSpacing/>
      <w:textAlignment w:val="baseline"/>
    </w:pPr>
    <w:rPr>
      <w:lang w:eastAsia="ja-JP"/>
    </w:rPr>
  </w:style>
  <w:style w:type="paragraph" w:customStyle="1" w:styleId="136">
    <w:name w:val="List Paragraph"/>
    <w:basedOn w:val="1"/>
    <w:qFormat/>
    <w:uiPriority w:val="34"/>
    <w:pPr>
      <w:ind w:left="840" w:leftChars="400"/>
    </w:pPr>
    <w:rPr>
      <w:lang w:eastAsia="zh-CN"/>
    </w:rPr>
  </w:style>
  <w:style w:type="paragraph" w:customStyle="1" w:styleId="137">
    <w:name w:val="3GPP Normal Text"/>
    <w:basedOn w:val="17"/>
    <w:qFormat/>
    <w:uiPriority w:val="0"/>
    <w:pPr>
      <w:autoSpaceDE/>
      <w:autoSpaceDN/>
      <w:adjustRightInd/>
      <w:snapToGrid/>
      <w:spacing w:after="60"/>
    </w:pPr>
    <w:rPr>
      <w:rFonts w:eastAsia="MS Mincho"/>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10</Pages>
  <Words>4040</Words>
  <Characters>23029</Characters>
  <Lines>191</Lines>
  <Paragraphs>54</Paragraphs>
  <TotalTime>41</TotalTime>
  <ScaleCrop>false</ScaleCrop>
  <LinksUpToDate>false</LinksUpToDate>
  <CharactersWithSpaces>27015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2021-09-30T09:51:00Z</dcterms:created>
  <dc:creator>ZTE</dc:creator>
  <cp:lastModifiedBy>ZTE-Ziyang</cp:lastModifiedBy>
  <cp:lastPrinted>2018-02-16T23:29:00Z</cp:lastPrinted>
  <dcterms:modified xsi:type="dcterms:W3CDTF">2022-04-25T10:03:08Z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